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 w:hAnsi="仿宋" w:eastAsia="仿宋" w:cs="仿宋"/>
          <w:b/>
          <w:bCs/>
          <w:color w:val="auto"/>
          <w:sz w:val="44"/>
          <w:szCs w:val="44"/>
          <w:lang w:eastAsia="zh-CN"/>
        </w:rPr>
      </w:pPr>
      <w:r>
        <w:rPr>
          <w:rFonts w:hint="eastAsia" w:ascii="宋体" w:hAnsi="宋体" w:eastAsia="仿宋" w:cs="宋体"/>
          <w:b/>
          <w:bCs/>
          <w:color w:val="auto"/>
          <w:spacing w:val="-10"/>
          <w:sz w:val="44"/>
          <w:szCs w:val="44"/>
          <w:highlight w:val="none"/>
          <w:lang w:val="en-US" w:eastAsia="zh-CN"/>
        </w:rPr>
        <w:t>2024年度</w:t>
      </w:r>
      <w:r>
        <w:rPr>
          <w:rFonts w:hint="eastAsia" w:ascii="宋体" w:hAnsi="宋体" w:eastAsia="仿宋" w:cs="宋体"/>
          <w:b/>
          <w:bCs/>
          <w:color w:val="auto"/>
          <w:spacing w:val="-10"/>
          <w:sz w:val="44"/>
          <w:szCs w:val="44"/>
          <w:lang w:eastAsia="zh-CN"/>
        </w:rPr>
        <w:t>滁</w:t>
      </w:r>
      <w:r>
        <w:rPr>
          <w:rFonts w:hint="eastAsia" w:ascii="宋体" w:hAnsi="宋体" w:eastAsia="仿宋" w:cs="宋体"/>
          <w:b/>
          <w:bCs/>
          <w:color w:val="auto"/>
          <w:spacing w:val="-10"/>
          <w:sz w:val="44"/>
          <w:szCs w:val="44"/>
          <w:lang w:val="en-US" w:eastAsia="zh-CN"/>
        </w:rPr>
        <w:t>城</w:t>
      </w:r>
      <w:r>
        <w:rPr>
          <w:rFonts w:hint="eastAsia" w:ascii="宋体" w:hAnsi="宋体" w:eastAsia="仿宋" w:cs="宋体"/>
          <w:b/>
          <w:bCs/>
          <w:color w:val="auto"/>
          <w:spacing w:val="-10"/>
          <w:sz w:val="44"/>
          <w:szCs w:val="44"/>
          <w:lang w:eastAsia="zh-CN"/>
        </w:rPr>
        <w:t>充电基础设施项目跟踪审计</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仿宋" w:cs="宋体"/>
          <w:b/>
          <w:bCs/>
          <w:color w:val="auto"/>
          <w:spacing w:val="-10"/>
          <w:sz w:val="44"/>
          <w:szCs w:val="44"/>
          <w:lang w:eastAsia="zh-CN"/>
        </w:rPr>
      </w:pPr>
      <w:r>
        <w:rPr>
          <w:rFonts w:hint="eastAsia" w:ascii="宋体" w:hAnsi="宋体" w:eastAsia="仿宋" w:cs="宋体"/>
          <w:b/>
          <w:bCs/>
          <w:color w:val="auto"/>
          <w:spacing w:val="-10"/>
          <w:sz w:val="44"/>
          <w:szCs w:val="44"/>
          <w:lang w:eastAsia="zh-CN"/>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ascii="宋体" w:cs="宋体"/>
          <w:b/>
          <w:bCs/>
          <w:color w:val="auto"/>
          <w:sz w:val="32"/>
          <w:u w:val="single"/>
        </w:rPr>
        <w:t xml:space="preserve"> </w:t>
      </w:r>
      <w:r>
        <w:rPr>
          <w:rFonts w:hint="eastAsia" w:ascii="宋体" w:cs="宋体"/>
          <w:b/>
          <w:bCs/>
          <w:color w:val="auto"/>
          <w:sz w:val="32"/>
          <w:u w:val="single"/>
        </w:rPr>
        <w:t xml:space="preserve">    </w:t>
      </w:r>
      <w:r>
        <w:rPr>
          <w:rFonts w:hint="eastAsia" w:ascii="宋体" w:cs="宋体"/>
          <w:b/>
          <w:bCs/>
          <w:color w:val="auto"/>
          <w:sz w:val="32"/>
          <w:szCs w:val="32"/>
          <w:u w:val="single"/>
          <w:lang w:eastAsia="zh-CN"/>
        </w:rPr>
        <w:t>滁州工投新能源开发有限公司</w:t>
      </w:r>
      <w:r>
        <w:rPr>
          <w:rFonts w:hint="eastAsia" w:ascii="宋体" w:cs="宋体"/>
          <w:b/>
          <w:bCs/>
          <w:color w:val="auto"/>
          <w:sz w:val="30"/>
          <w:szCs w:val="30"/>
          <w:u w:val="single"/>
        </w:rPr>
        <w:t xml:space="preserve">   </w:t>
      </w:r>
      <w:r>
        <w:rPr>
          <w:rFonts w:ascii="宋体" w:cs="宋体"/>
          <w:b/>
          <w:bCs/>
          <w:color w:val="auto"/>
          <w:sz w:val="30"/>
          <w:szCs w:val="30"/>
          <w:u w:val="single"/>
        </w:rPr>
        <w:t xml:space="preserve"> </w:t>
      </w:r>
      <w:r>
        <w:rPr>
          <w:rFonts w:hint="eastAsia" w:ascii="宋体" w:cs="宋体"/>
          <w:b/>
          <w:bCs/>
          <w:color w:val="auto"/>
          <w:sz w:val="32"/>
          <w:u w:val="single"/>
        </w:rPr>
        <w:t>（盖章）</w:t>
      </w:r>
    </w:p>
    <w:p>
      <w:pPr>
        <w:spacing w:line="700" w:lineRule="exact"/>
        <w:rPr>
          <w:rFonts w:ascii="宋体" w:cs="宋体"/>
          <w:b/>
          <w:bCs/>
          <w:color w:val="auto"/>
          <w:sz w:val="32"/>
          <w:u w:val="single"/>
        </w:rPr>
      </w:pPr>
    </w:p>
    <w:p>
      <w:pPr>
        <w:spacing w:line="700" w:lineRule="exact"/>
        <w:ind w:firstLine="4016" w:firstLineChars="1250"/>
        <w:rPr>
          <w:rFonts w:ascii="宋体" w:cs="宋体"/>
          <w:b/>
          <w:bCs/>
          <w:color w:val="auto"/>
          <w:spacing w:val="20"/>
          <w:sz w:val="32"/>
          <w:szCs w:val="32"/>
        </w:rPr>
      </w:pPr>
      <w:r>
        <w:rPr>
          <w:rFonts w:ascii="宋体" w:cs="宋体"/>
          <w:b/>
          <w:bCs/>
          <w:color w:val="auto"/>
          <w:sz w:val="32"/>
          <w:u w:val="single"/>
        </w:rPr>
        <w:t>202</w:t>
      </w:r>
      <w:r>
        <w:rPr>
          <w:rFonts w:hint="eastAsia" w:ascii="宋体" w:cs="宋体"/>
          <w:b/>
          <w:bCs/>
          <w:color w:val="auto"/>
          <w:sz w:val="32"/>
          <w:u w:val="single"/>
          <w:lang w:val="en-US" w:eastAsia="zh-CN"/>
        </w:rPr>
        <w:t>4</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月</w:t>
      </w:r>
    </w:p>
    <w:p>
      <w:pPr>
        <w:spacing w:line="700" w:lineRule="exact"/>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color w:val="auto"/>
        </w:rPr>
      </w:pPr>
    </w:p>
    <w:p>
      <w:pPr>
        <w:spacing w:line="700" w:lineRule="exact"/>
        <w:jc w:val="center"/>
        <w:rPr>
          <w:rFonts w:ascii="宋体" w:hAnsi="宋体" w:cs="宋体"/>
          <w:b/>
          <w:bCs/>
          <w:color w:val="auto"/>
          <w:sz w:val="28"/>
          <w:szCs w:val="28"/>
        </w:rPr>
      </w:pPr>
      <w:r>
        <w:rPr>
          <w:rFonts w:hint="eastAsia" w:ascii="宋体" w:hAnsi="宋体" w:cs="宋体"/>
          <w:b/>
          <w:bCs/>
          <w:color w:val="auto"/>
          <w:sz w:val="28"/>
          <w:szCs w:val="28"/>
        </w:rPr>
        <w:t>目  录</w:t>
      </w:r>
    </w:p>
    <w:sdt>
      <w:sdtPr>
        <w:rPr>
          <w:rFonts w:ascii="宋体" w:hAnsi="宋体"/>
          <w:b/>
          <w:bCs/>
          <w:color w:val="auto"/>
        </w:rPr>
        <w:id w:val="147454049"/>
        <w15:color w:val="DBDBDB"/>
        <w:docPartObj>
          <w:docPartGallery w:val="Table of Contents"/>
          <w:docPartUnique/>
        </w:docPartObj>
      </w:sdtPr>
      <w:sdtEndPr>
        <w:rPr>
          <w:rFonts w:hint="eastAsia" w:ascii="Times New Roman" w:hAnsi="Times New Roman"/>
          <w:b/>
          <w:bCs/>
          <w:color w:val="auto"/>
          <w:sz w:val="28"/>
          <w:szCs w:val="28"/>
        </w:rPr>
      </w:sdtEndPr>
      <w:sdtContent>
        <w:p>
          <w:pPr>
            <w:jc w:val="center"/>
            <w:rPr>
              <w:color w:val="auto"/>
            </w:rPr>
          </w:pPr>
        </w:p>
        <w:p>
          <w:pPr>
            <w:pStyle w:val="31"/>
            <w:tabs>
              <w:tab w:val="right" w:leader="dot" w:pos="9541"/>
              <w:tab w:val="clear" w:pos="8296"/>
            </w:tabs>
            <w:rPr>
              <w:rFonts w:hint="eastAsia" w:ascii="仿宋" w:hAnsi="仿宋" w:eastAsia="仿宋" w:cs="仿宋"/>
              <w:sz w:val="28"/>
              <w:szCs w:val="28"/>
            </w:rPr>
          </w:pPr>
          <w:r>
            <w:rPr>
              <w:rFonts w:hint="eastAsia"/>
              <w:color w:val="auto"/>
            </w:rPr>
            <w:fldChar w:fldCharType="begin"/>
          </w:r>
          <w:r>
            <w:rPr>
              <w:rFonts w:hint="eastAsia"/>
              <w:color w:val="auto"/>
            </w:rPr>
            <w:instrText xml:space="preserve">TOC \o "1-1" \h \u </w:instrText>
          </w:r>
          <w:r>
            <w:rPr>
              <w:rFonts w:hint="eastAsia"/>
              <w:color w:val="auto"/>
            </w:rPr>
            <w:fldChar w:fldCharType="separate"/>
          </w: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_Toc12013 </w:instrText>
          </w:r>
          <w:r>
            <w:rPr>
              <w:rFonts w:hint="eastAsia" w:ascii="仿宋" w:hAnsi="仿宋" w:eastAsia="仿宋" w:cs="仿宋"/>
              <w:sz w:val="28"/>
              <w:szCs w:val="28"/>
            </w:rPr>
            <w:fldChar w:fldCharType="separate"/>
          </w:r>
          <w:r>
            <w:rPr>
              <w:rFonts w:hint="eastAsia" w:ascii="仿宋" w:hAnsi="仿宋" w:eastAsia="仿宋" w:cs="仿宋"/>
              <w:sz w:val="28"/>
              <w:szCs w:val="28"/>
            </w:rPr>
            <w:t xml:space="preserve">第一章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_Toc12013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_Toc24860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_Toc24860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_Toc10808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 xml:space="preserve">第三章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评标办法（</w:t>
          </w:r>
          <w:r>
            <w:rPr>
              <w:rFonts w:hint="eastAsia" w:ascii="仿宋" w:hAnsi="仿宋" w:eastAsia="仿宋" w:cs="仿宋"/>
              <w:sz w:val="28"/>
              <w:szCs w:val="28"/>
              <w:highlight w:val="none"/>
              <w:lang w:eastAsia="zh-CN"/>
            </w:rPr>
            <w:t>综合评估法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_Toc10808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_Toc27776 </w:instrText>
          </w:r>
          <w:r>
            <w:rPr>
              <w:rFonts w:hint="eastAsia" w:ascii="仿宋" w:hAnsi="仿宋" w:eastAsia="仿宋" w:cs="仿宋"/>
              <w:sz w:val="28"/>
              <w:szCs w:val="28"/>
            </w:rPr>
            <w:fldChar w:fldCharType="separate"/>
          </w:r>
          <w:r>
            <w:rPr>
              <w:rFonts w:hint="eastAsia" w:ascii="仿宋" w:hAnsi="仿宋" w:eastAsia="仿宋" w:cs="仿宋"/>
              <w:kern w:val="2"/>
              <w:sz w:val="28"/>
              <w:szCs w:val="28"/>
              <w:lang w:val="en-US" w:eastAsia="zh-CN"/>
            </w:rPr>
            <w:t>第四章</w:t>
          </w:r>
          <w:r>
            <w:rPr>
              <w:rFonts w:hint="eastAsia" w:ascii="仿宋" w:hAnsi="仿宋" w:eastAsia="仿宋" w:cs="仿宋"/>
              <w:kern w:val="2"/>
              <w:sz w:val="28"/>
              <w:szCs w:val="28"/>
            </w:rPr>
            <w:t xml:space="preserve">  采购需求及服务要求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_Toc27776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_Toc25602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_Toc25602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_Toc15578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_Toc15578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6"/>
            <w:spacing w:before="0" w:after="0" w:line="700" w:lineRule="exact"/>
            <w:rPr>
              <w:rFonts w:ascii="仿宋" w:cs="仿宋"/>
              <w:b w:val="0"/>
              <w:bCs w:val="0"/>
              <w:color w:val="auto"/>
              <w:sz w:val="24"/>
              <w:szCs w:val="24"/>
            </w:rPr>
          </w:pPr>
          <w:r>
            <w:rPr>
              <w:rFonts w:hint="eastAsia"/>
              <w:color w:val="auto"/>
            </w:rPr>
            <w:fldChar w:fldCharType="end"/>
          </w:r>
        </w:p>
      </w:sdtContent>
    </w:sdt>
    <w:p>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color w:val="auto"/>
          <w:sz w:val="32"/>
          <w:szCs w:val="32"/>
        </w:rPr>
      </w:pPr>
      <w:bookmarkStart w:id="0" w:name="_Toc24106"/>
      <w:bookmarkStart w:id="1" w:name="_Toc12013"/>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0"/>
      <w:r>
        <w:rPr>
          <w:rFonts w:hint="eastAsia" w:ascii="宋体" w:hAnsi="宋体" w:cs="宋体"/>
          <w:b/>
          <w:color w:val="auto"/>
          <w:sz w:val="32"/>
          <w:szCs w:val="32"/>
        </w:rPr>
        <w:t>招标公告</w:t>
      </w:r>
      <w:bookmarkEnd w:id="1"/>
    </w:p>
    <w:p>
      <w:pPr>
        <w:pStyle w:val="7"/>
        <w:numPr>
          <w:ilvl w:val="1"/>
          <w:numId w:val="0"/>
        </w:numPr>
        <w:spacing w:line="400" w:lineRule="exact"/>
        <w:ind w:left="431"/>
        <w:rPr>
          <w:rFonts w:ascii="宋体" w:hAnsi="宋体" w:eastAsia="宋体" w:cs="宋体"/>
          <w:color w:val="auto"/>
          <w:sz w:val="24"/>
          <w:szCs w:val="24"/>
        </w:rPr>
      </w:pPr>
      <w:bookmarkStart w:id="2" w:name="_Toc58430305"/>
      <w:bookmarkStart w:id="3" w:name="_Toc28359002"/>
      <w:bookmarkStart w:id="4" w:name="_Toc35393790"/>
      <w:bookmarkStart w:id="5" w:name="_Toc35393621"/>
      <w:bookmarkStart w:id="6" w:name="_Toc28359079"/>
      <w:bookmarkStart w:id="7" w:name="_Hlk24379207"/>
      <w:r>
        <w:rPr>
          <w:rFonts w:hint="eastAsia" w:ascii="宋体" w:hAnsi="宋体" w:eastAsia="宋体" w:cs="宋体"/>
          <w:color w:val="auto"/>
          <w:sz w:val="24"/>
          <w:szCs w:val="24"/>
        </w:rPr>
        <w:t>一、项目基本情况</w:t>
      </w:r>
      <w:bookmarkEnd w:id="2"/>
      <w:bookmarkEnd w:id="3"/>
      <w:bookmarkEnd w:id="4"/>
      <w:bookmarkEnd w:id="5"/>
      <w:bookmarkEnd w:id="6"/>
    </w:p>
    <w:bookmarkEnd w:id="7"/>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eastAsia="zh-CN"/>
        </w:rPr>
      </w:pPr>
      <w:bookmarkStart w:id="8" w:name="_Toc28359080"/>
      <w:bookmarkStart w:id="9" w:name="_Toc58430306"/>
      <w:bookmarkStart w:id="10" w:name="_Toc35393791"/>
      <w:bookmarkStart w:id="11" w:name="_Toc35393622"/>
      <w:bookmarkStart w:id="12" w:name="_Toc28359003"/>
      <w:r>
        <w:rPr>
          <w:rFonts w:hint="eastAsia" w:ascii="宋体" w:hAnsi="宋体" w:eastAsia="宋体" w:cs="宋体"/>
          <w:color w:val="auto"/>
          <w:sz w:val="24"/>
          <w:szCs w:val="24"/>
        </w:rPr>
        <w:t>项目名称：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充电基础设施项目跟踪审计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预算金额：项目工程造价</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人的资格要求</w:t>
      </w:r>
      <w:bookmarkEnd w:id="8"/>
      <w:bookmarkEnd w:id="9"/>
      <w:bookmarkEnd w:id="10"/>
      <w:bookmarkEnd w:id="11"/>
      <w:bookmarkEnd w:id="12"/>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3" w:name="_Toc35393792"/>
      <w:bookmarkStart w:id="14" w:name="_Toc28359004"/>
      <w:bookmarkStart w:id="15" w:name="_Toc35393623"/>
      <w:bookmarkStart w:id="16" w:name="_Toc28359081"/>
      <w:bookmarkStart w:id="17" w:name="_Toc58430307"/>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w:t>
      </w:r>
      <w:r>
        <w:rPr>
          <w:rFonts w:hint="eastAsia" w:ascii="宋体" w:hAnsi="宋体" w:cs="宋体"/>
          <w:color w:val="auto"/>
          <w:sz w:val="24"/>
          <w:szCs w:val="24"/>
          <w:lang w:val="en-US" w:eastAsia="zh-CN"/>
        </w:rPr>
        <w:t>安装</w:t>
      </w:r>
      <w:r>
        <w:rPr>
          <w:rFonts w:hint="eastAsia" w:ascii="宋体" w:hAnsi="宋体" w:cs="宋体"/>
          <w:color w:val="auto"/>
          <w:sz w:val="24"/>
          <w:szCs w:val="24"/>
        </w:rPr>
        <w:t>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rPr>
        <w:t>3.限制投标单位：</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highlight w:val="none"/>
          <w:lang w:val="en-US" w:eastAsia="zh-CN"/>
        </w:rPr>
        <w:t>城</w:t>
      </w:r>
      <w:r>
        <w:rPr>
          <w:rFonts w:hint="eastAsia" w:ascii="宋体" w:hAnsi="宋体" w:eastAsia="宋体" w:cs="宋体"/>
          <w:color w:val="auto"/>
          <w:sz w:val="24"/>
          <w:szCs w:val="24"/>
          <w:highlight w:val="none"/>
          <w:lang w:eastAsia="zh-CN"/>
        </w:rPr>
        <w:t>充电基础设施项目</w:t>
      </w:r>
      <w:r>
        <w:rPr>
          <w:rFonts w:hint="eastAsia" w:ascii="宋体" w:hAnsi="宋体" w:cs="宋体"/>
          <w:color w:val="auto"/>
          <w:sz w:val="24"/>
          <w:szCs w:val="24"/>
          <w:highlight w:val="none"/>
        </w:rPr>
        <w:t>工程量清单及最高投标限价编制单位、监理单位、设计单位、施工单位不得参加本项目投标</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人（土建专业不少于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且均具有</w:t>
      </w:r>
      <w:r>
        <w:rPr>
          <w:rFonts w:hint="eastAsia" w:ascii="宋体" w:hAnsi="宋体" w:eastAsia="宋体" w:cs="宋体"/>
          <w:color w:val="auto"/>
          <w:sz w:val="24"/>
          <w:szCs w:val="24"/>
          <w:highlight w:val="none"/>
          <w:lang w:val="en-US" w:eastAsia="zh-CN"/>
        </w:rPr>
        <w:t>二级及以上造价师（或注册造价工程师）。</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需</w:t>
      </w:r>
      <w:r>
        <w:rPr>
          <w:rFonts w:hint="eastAsia" w:ascii="宋体" w:hAnsi="宋体" w:eastAsia="宋体" w:cs="宋体"/>
          <w:color w:val="auto"/>
          <w:sz w:val="24"/>
          <w:szCs w:val="24"/>
          <w:lang w:val="en-US" w:eastAsia="zh-CN"/>
        </w:rPr>
        <w:t>提供项目组人员注册证书复印件</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3"/>
      <w:bookmarkEnd w:id="14"/>
      <w:bookmarkEnd w:id="15"/>
      <w:bookmarkEnd w:id="16"/>
      <w:bookmarkEnd w:id="17"/>
    </w:p>
    <w:p>
      <w:pPr>
        <w:spacing w:line="400" w:lineRule="exact"/>
        <w:ind w:firstLine="540"/>
        <w:rPr>
          <w:rFonts w:hint="eastAsia" w:ascii="宋体" w:hAnsi="宋体" w:eastAsia="宋体" w:cs="宋体"/>
          <w:iCs/>
          <w:color w:val="auto"/>
          <w:sz w:val="24"/>
          <w:szCs w:val="24"/>
          <w:u w:val="single"/>
          <w:lang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18</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21</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eastAsia="zh-CN"/>
        </w:rPr>
        <w:t>；</w:t>
      </w:r>
    </w:p>
    <w:p>
      <w:pPr>
        <w:spacing w:line="400" w:lineRule="exact"/>
        <w:ind w:firstLine="540"/>
        <w:rPr>
          <w:rFonts w:hint="default" w:ascii="宋体" w:hAnsi="宋体" w:eastAsia="宋体" w:cs="宋体"/>
          <w:color w:val="auto"/>
          <w:sz w:val="24"/>
          <w:szCs w:val="24"/>
          <w:u w:val="single"/>
          <w:lang w:val="en-US"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方式：网上下载</w:t>
      </w:r>
      <w:r>
        <w:rPr>
          <w:rFonts w:hint="eastAsia" w:ascii="宋体" w:hAnsi="宋体" w:cs="宋体"/>
          <w:color w:val="auto"/>
          <w:sz w:val="24"/>
          <w:szCs w:val="24"/>
          <w:lang w:eastAsia="zh-CN"/>
        </w:rPr>
        <w:t>；</w:t>
      </w:r>
      <w:r>
        <w:rPr>
          <w:rFonts w:hint="eastAsia" w:ascii="宋体" w:hAnsi="宋体" w:cs="宋体"/>
          <w:color w:val="auto"/>
          <w:sz w:val="24"/>
          <w:szCs w:val="24"/>
        </w:rPr>
        <w:t>投标人</w:t>
      </w:r>
      <w:r>
        <w:rPr>
          <w:rFonts w:hint="eastAsia" w:ascii="宋体" w:hAnsi="宋体" w:cs="宋体"/>
          <w:color w:val="auto"/>
          <w:sz w:val="24"/>
          <w:szCs w:val="24"/>
          <w:lang w:val="en-US" w:eastAsia="zh-CN"/>
        </w:rPr>
        <w:t>可</w:t>
      </w:r>
      <w:r>
        <w:rPr>
          <w:rFonts w:hint="eastAsia" w:ascii="宋体" w:hAnsi="宋体" w:cs="宋体"/>
          <w:color w:val="auto"/>
          <w:sz w:val="24"/>
          <w:szCs w:val="24"/>
        </w:rPr>
        <w:t>从中国扬子集团网站（http://www.yangzigroup.cn/）或微信公众号（滁州市工投公司）</w:t>
      </w:r>
      <w:r>
        <w:rPr>
          <w:rFonts w:hint="eastAsia" w:ascii="宋体" w:hAnsi="宋体" w:cs="宋体"/>
          <w:color w:val="auto"/>
          <w:sz w:val="24"/>
          <w:szCs w:val="24"/>
          <w:lang w:val="en-US" w:eastAsia="zh-CN"/>
        </w:rPr>
        <w:t>自行</w:t>
      </w:r>
      <w:r>
        <w:rPr>
          <w:rFonts w:hint="eastAsia" w:ascii="宋体" w:hAnsi="宋体" w:cs="宋体"/>
          <w:color w:val="auto"/>
          <w:sz w:val="24"/>
          <w:szCs w:val="24"/>
        </w:rPr>
        <w:t>下载</w:t>
      </w:r>
      <w:r>
        <w:rPr>
          <w:rFonts w:hint="eastAsia" w:ascii="宋体" w:hAnsi="宋体" w:cs="宋体"/>
          <w:color w:val="auto"/>
          <w:sz w:val="24"/>
          <w:szCs w:val="24"/>
          <w:lang w:val="en-US" w:eastAsia="zh-CN"/>
        </w:rPr>
        <w:t>投标文件；如投标人不及时下载招标文件，造成后果由投标人自负；</w:t>
      </w:r>
    </w:p>
    <w:p>
      <w:pPr>
        <w:spacing w:line="400" w:lineRule="exact"/>
        <w:ind w:firstLine="540"/>
        <w:rPr>
          <w:rFonts w:hint="eastAsia" w:ascii="宋体" w:hAnsi="宋体" w:eastAsia="宋体" w:cs="宋体"/>
          <w:color w:val="auto"/>
          <w:sz w:val="24"/>
          <w:szCs w:val="24"/>
          <w:lang w:eastAsia="zh-CN"/>
        </w:rPr>
      </w:pPr>
      <w:r>
        <w:rPr>
          <w:rFonts w:hint="eastAsia" w:ascii="宋体" w:hAnsi="宋体" w:cs="宋体"/>
          <w:color w:val="auto"/>
          <w:sz w:val="24"/>
          <w:szCs w:val="24"/>
        </w:rPr>
        <w:t>售价：0元</w:t>
      </w:r>
      <w:r>
        <w:rPr>
          <w:rFonts w:hint="eastAsia" w:ascii="宋体" w:hAnsi="宋体" w:cs="宋体"/>
          <w:color w:val="auto"/>
          <w:sz w:val="24"/>
          <w:szCs w:val="24"/>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18" w:name="_Toc28359005"/>
      <w:bookmarkStart w:id="19" w:name="_Toc28359082"/>
      <w:bookmarkStart w:id="20" w:name="_Toc35393624"/>
      <w:bookmarkStart w:id="21" w:name="_Toc58430308"/>
      <w:bookmarkStart w:id="22" w:name="_Toc35393793"/>
      <w:r>
        <w:rPr>
          <w:rFonts w:hint="eastAsia" w:ascii="宋体" w:hAnsi="宋体" w:eastAsia="宋体" w:cs="宋体"/>
          <w:color w:val="auto"/>
          <w:sz w:val="24"/>
          <w:szCs w:val="24"/>
        </w:rPr>
        <w:t>四、提交投标文件</w:t>
      </w:r>
      <w:bookmarkEnd w:id="18"/>
      <w:bookmarkEnd w:id="19"/>
      <w:r>
        <w:rPr>
          <w:rFonts w:hint="eastAsia" w:ascii="宋体" w:hAnsi="宋体" w:eastAsia="宋体" w:cs="宋体"/>
          <w:color w:val="auto"/>
          <w:sz w:val="24"/>
          <w:szCs w:val="24"/>
        </w:rPr>
        <w:t>截止时间、开标时间和地点</w:t>
      </w:r>
      <w:bookmarkEnd w:id="20"/>
      <w:bookmarkEnd w:id="21"/>
      <w:bookmarkEnd w:id="22"/>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提交投标文件截止时间： 2024年3月21日15点00分（北京时间）；</w:t>
      </w:r>
    </w:p>
    <w:p>
      <w:pPr>
        <w:spacing w:line="40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cs="宋体"/>
          <w:color w:val="auto"/>
          <w:sz w:val="24"/>
          <w:szCs w:val="24"/>
          <w:highlight w:val="none"/>
          <w:u w:val="none"/>
          <w:lang w:val="en-US" w:eastAsia="zh-CN"/>
        </w:rPr>
        <w:t>开标时间：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21</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hint="eastAsia" w:ascii="宋体" w:hAnsi="宋体" w:cs="宋体"/>
          <w:bCs/>
          <w:color w:val="auto"/>
          <w:sz w:val="24"/>
          <w:szCs w:val="24"/>
          <w:highlight w:val="none"/>
          <w:u w:val="single"/>
        </w:rPr>
        <w:t>点00分</w:t>
      </w:r>
      <w:r>
        <w:rPr>
          <w:rFonts w:hint="eastAsia" w:ascii="宋体" w:hAnsi="宋体" w:cs="宋体"/>
          <w:bCs/>
          <w:color w:val="auto"/>
          <w:sz w:val="24"/>
          <w:szCs w:val="24"/>
          <w:highlight w:val="none"/>
        </w:rPr>
        <w:t>（北京时间）</w:t>
      </w:r>
      <w:r>
        <w:rPr>
          <w:rFonts w:hint="eastAsia" w:ascii="宋体" w:hAnsi="宋体" w:cs="宋体"/>
          <w:bCs/>
          <w:color w:val="auto"/>
          <w:sz w:val="24"/>
          <w:szCs w:val="24"/>
          <w:highlight w:val="none"/>
          <w:lang w:eastAsia="zh-CN"/>
        </w:rPr>
        <w:t>；</w:t>
      </w:r>
    </w:p>
    <w:p>
      <w:pPr>
        <w:widowControl/>
        <w:spacing w:line="440" w:lineRule="exact"/>
        <w:ind w:firstLine="480" w:firstLineChars="200"/>
        <w:textAlignment w:val="baseline"/>
        <w:rPr>
          <w:rFonts w:hint="eastAsia" w:ascii="宋体" w:hAnsi="宋体" w:eastAsia="宋体" w:cs="宋体"/>
          <w:bCs/>
          <w:color w:val="auto"/>
          <w:sz w:val="24"/>
          <w:szCs w:val="24"/>
          <w:highlight w:val="none"/>
          <w:u w:val="single"/>
          <w:lang w:eastAsia="zh-CN"/>
        </w:rPr>
      </w:pPr>
      <w:r>
        <w:rPr>
          <w:rFonts w:hint="eastAsia" w:ascii="宋体" w:hAnsi="宋体" w:cs="宋体"/>
          <w:color w:val="auto"/>
          <w:sz w:val="24"/>
          <w:szCs w:val="24"/>
          <w:highlight w:val="none"/>
          <w:lang w:val="en-US" w:eastAsia="zh-CN"/>
        </w:rPr>
        <w:t>开标</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r>
        <w:rPr>
          <w:rFonts w:hint="eastAsia" w:ascii="宋体" w:hAnsi="宋体" w:cs="宋体"/>
          <w:color w:val="auto"/>
          <w:sz w:val="24"/>
          <w:szCs w:val="24"/>
          <w:highlight w:val="none"/>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23" w:name="_Toc28359007"/>
      <w:bookmarkStart w:id="24" w:name="_Toc35393625"/>
      <w:bookmarkStart w:id="25" w:name="_Toc58430309"/>
      <w:bookmarkStart w:id="26" w:name="_Toc35393794"/>
      <w:bookmarkStart w:id="27" w:name="_Toc28359084"/>
      <w:r>
        <w:rPr>
          <w:rFonts w:hint="eastAsia" w:ascii="宋体" w:hAnsi="宋体" w:eastAsia="宋体" w:cs="宋体"/>
          <w:color w:val="auto"/>
          <w:sz w:val="24"/>
          <w:szCs w:val="24"/>
        </w:rPr>
        <w:t>五、</w:t>
      </w:r>
      <w:bookmarkEnd w:id="23"/>
      <w:bookmarkEnd w:id="24"/>
      <w:bookmarkEnd w:id="25"/>
      <w:bookmarkEnd w:id="26"/>
      <w:bookmarkEnd w:id="27"/>
      <w:bookmarkStart w:id="28" w:name="_Toc58430310"/>
      <w:r>
        <w:rPr>
          <w:rFonts w:hint="eastAsia" w:ascii="宋体" w:hAnsi="宋体" w:eastAsia="宋体" w:cs="宋体"/>
          <w:color w:val="auto"/>
          <w:sz w:val="24"/>
          <w:szCs w:val="24"/>
        </w:rPr>
        <w:t>投标保证金金额及缴纳账户</w:t>
      </w:r>
      <w:bookmarkEnd w:id="28"/>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是否要求投标人提交投标保证金：</w:t>
      </w:r>
      <w:r>
        <w:rPr>
          <w:rFonts w:hint="eastAsia" w:ascii="宋体" w:hAnsi="宋体" w:cs="宋体"/>
          <w:color w:val="auto"/>
          <w:sz w:val="24"/>
          <w:szCs w:val="24"/>
          <w:highlight w:val="none"/>
          <w:lang w:val="en-US" w:eastAsia="zh-CN"/>
        </w:rPr>
        <w:t>不</w:t>
      </w:r>
      <w:r>
        <w:rPr>
          <w:rFonts w:hint="eastAsia" w:ascii="宋体" w:hAnsi="宋体" w:cs="宋体"/>
          <w:color w:val="auto"/>
          <w:sz w:val="24"/>
          <w:szCs w:val="24"/>
          <w:highlight w:val="none"/>
        </w:rPr>
        <w:t>要求。</w:t>
      </w:r>
    </w:p>
    <w:p>
      <w:pPr>
        <w:pStyle w:val="7"/>
        <w:numPr>
          <w:ilvl w:val="1"/>
          <w:numId w:val="0"/>
        </w:numPr>
        <w:spacing w:line="400" w:lineRule="exact"/>
        <w:ind w:left="851" w:hanging="420"/>
        <w:rPr>
          <w:rFonts w:ascii="宋体" w:hAnsi="宋体" w:eastAsia="宋体" w:cs="宋体"/>
          <w:color w:val="auto"/>
          <w:sz w:val="24"/>
          <w:szCs w:val="24"/>
        </w:rPr>
      </w:pPr>
      <w:bookmarkStart w:id="29" w:name="_Toc58430312"/>
      <w:r>
        <w:rPr>
          <w:rFonts w:hint="eastAsia" w:ascii="宋体" w:hAnsi="宋体" w:eastAsia="宋体" w:cs="宋体"/>
          <w:color w:val="auto"/>
          <w:sz w:val="24"/>
          <w:szCs w:val="24"/>
        </w:rPr>
        <w:t>六、对本次招标提出询问，请按以下方式联系</w:t>
      </w:r>
      <w:bookmarkEnd w:id="29"/>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滁州工投新能源开发有限公司</w:t>
      </w:r>
    </w:p>
    <w:p>
      <w:pPr>
        <w:spacing w:line="400" w:lineRule="exact"/>
        <w:ind w:left="1079" w:leftChars="371" w:hanging="300" w:hangingChars="125"/>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地址：</w:t>
      </w:r>
      <w:r>
        <w:rPr>
          <w:rFonts w:hint="eastAsia" w:ascii="宋体" w:hAnsi="宋体" w:cs="宋体"/>
          <w:color w:val="auto"/>
          <w:sz w:val="24"/>
          <w:szCs w:val="24"/>
          <w:u w:val="single"/>
        </w:rPr>
        <w:t>滁州市</w:t>
      </w:r>
      <w:r>
        <w:rPr>
          <w:rFonts w:hint="eastAsia" w:ascii="宋体" w:hAnsi="宋体" w:cs="宋体"/>
          <w:color w:val="auto"/>
          <w:sz w:val="24"/>
          <w:szCs w:val="24"/>
          <w:u w:val="single"/>
          <w:lang w:val="en-US" w:eastAsia="zh-CN"/>
        </w:rPr>
        <w:t>城投</w:t>
      </w:r>
      <w:r>
        <w:rPr>
          <w:rFonts w:hint="eastAsia" w:ascii="宋体" w:hAnsi="宋体" w:cs="宋体"/>
          <w:color w:val="auto"/>
          <w:sz w:val="24"/>
          <w:szCs w:val="24"/>
          <w:u w:val="single"/>
        </w:rPr>
        <w:t>大厦</w:t>
      </w:r>
      <w:r>
        <w:rPr>
          <w:rFonts w:hint="eastAsia" w:ascii="宋体" w:hAnsi="宋体" w:cs="宋体"/>
          <w:color w:val="auto"/>
          <w:sz w:val="24"/>
          <w:szCs w:val="24"/>
          <w:u w:val="single"/>
          <w:lang w:val="en-US" w:eastAsia="zh-CN"/>
        </w:rPr>
        <w:t>13楼1306室</w:t>
      </w:r>
    </w:p>
    <w:p>
      <w:pPr>
        <w:spacing w:line="400" w:lineRule="exact"/>
        <w:ind w:firstLine="720" w:firstLineChars="300"/>
        <w:rPr>
          <w:rFonts w:ascii="宋体" w:hAnsi="宋体" w:cs="宋体"/>
          <w:color w:val="auto"/>
          <w:sz w:val="24"/>
          <w:szCs w:val="24"/>
          <w:u w:val="single"/>
        </w:rPr>
      </w:pPr>
      <w:bookmarkStart w:id="30" w:name="_Toc28359010"/>
      <w:bookmarkStart w:id="31" w:name="_Toc28359087"/>
      <w:r>
        <w:rPr>
          <w:rFonts w:hint="eastAsia" w:ascii="宋体" w:hAnsi="宋体" w:cs="宋体"/>
          <w:color w:val="auto"/>
          <w:sz w:val="24"/>
          <w:szCs w:val="24"/>
          <w:lang w:val="en-US" w:eastAsia="zh-CN"/>
        </w:rPr>
        <w:t>2</w:t>
      </w:r>
      <w:r>
        <w:rPr>
          <w:rFonts w:hint="eastAsia" w:ascii="宋体" w:hAnsi="宋体" w:cs="宋体"/>
          <w:color w:val="auto"/>
          <w:sz w:val="24"/>
          <w:szCs w:val="24"/>
        </w:rPr>
        <w:t>.项目联系方式</w:t>
      </w:r>
      <w:bookmarkEnd w:id="30"/>
      <w:bookmarkEnd w:id="31"/>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eastAsia="zh-CN"/>
        </w:rPr>
        <w:t>姚烨、</w:t>
      </w:r>
      <w:r>
        <w:rPr>
          <w:rFonts w:hint="eastAsia" w:hAnsi="宋体"/>
          <w:color w:val="auto"/>
          <w:sz w:val="24"/>
          <w:szCs w:val="24"/>
          <w:u w:val="single"/>
          <w:lang w:val="en-US" w:eastAsia="zh-CN"/>
        </w:rPr>
        <w:t>刘潇潇</w:t>
      </w:r>
    </w:p>
    <w:p>
      <w:pPr>
        <w:spacing w:before="159" w:beforeLines="50" w:after="159" w:afterLines="50" w:line="440" w:lineRule="exact"/>
        <w:ind w:firstLine="720" w:firstLineChars="300"/>
        <w:jc w:val="both"/>
        <w:outlineLvl w:val="0"/>
        <w:rPr>
          <w:rFonts w:hint="eastAsia" w:ascii="宋体" w:hAnsi="宋体" w:cs="宋体"/>
          <w:color w:val="auto"/>
          <w:sz w:val="24"/>
          <w:szCs w:val="24"/>
          <w:u w:val="single"/>
          <w:lang w:val="en-US" w:eastAsia="zh-CN"/>
        </w:rPr>
      </w:pPr>
      <w:bookmarkStart w:id="32" w:name="_Toc8061"/>
      <w:r>
        <w:rPr>
          <w:rFonts w:hint="eastAsia" w:ascii="宋体" w:hAnsi="宋体" w:cs="宋体"/>
          <w:color w:val="auto"/>
          <w:sz w:val="24"/>
          <w:szCs w:val="24"/>
        </w:rPr>
        <w:t>电　话：</w:t>
      </w:r>
      <w:r>
        <w:rPr>
          <w:rFonts w:hint="eastAsia" w:ascii="宋体" w:hAnsi="宋体" w:cs="宋体"/>
          <w:color w:val="auto"/>
          <w:sz w:val="24"/>
          <w:szCs w:val="24"/>
          <w:u w:val="single"/>
          <w:lang w:eastAsia="zh-CN"/>
        </w:rPr>
        <w:t>18005500525</w:t>
      </w:r>
      <w:r>
        <w:rPr>
          <w:rFonts w:hint="eastAsia" w:ascii="宋体" w:hAnsi="宋体" w:cs="宋体"/>
          <w:color w:val="auto"/>
          <w:sz w:val="24"/>
          <w:szCs w:val="24"/>
          <w:u w:val="single"/>
        </w:rPr>
        <w:t>、</w:t>
      </w:r>
      <w:bookmarkStart w:id="33" w:name="_Toc5455"/>
      <w:r>
        <w:rPr>
          <w:rFonts w:hint="eastAsia" w:ascii="宋体" w:hAnsi="宋体" w:cs="宋体"/>
          <w:color w:val="auto"/>
          <w:sz w:val="24"/>
          <w:szCs w:val="24"/>
          <w:u w:val="single"/>
          <w:lang w:val="en-US" w:eastAsia="zh-CN"/>
        </w:rPr>
        <w:t>15955016581</w:t>
      </w:r>
      <w:bookmarkEnd w:id="32"/>
    </w:p>
    <w:p>
      <w:pPr>
        <w:spacing w:before="159" w:beforeLines="50" w:after="159" w:afterLines="50" w:line="440" w:lineRule="exact"/>
        <w:ind w:firstLine="720" w:firstLineChars="300"/>
        <w:jc w:val="both"/>
        <w:outlineLvl w:val="0"/>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监督电话：</w:t>
      </w:r>
      <w:r>
        <w:rPr>
          <w:rFonts w:hint="eastAsia" w:ascii="宋体" w:hAnsi="宋体" w:cs="宋体"/>
          <w:color w:val="auto"/>
          <w:sz w:val="24"/>
          <w:szCs w:val="24"/>
          <w:highlight w:val="none"/>
          <w:u w:val="single"/>
          <w:lang w:val="en-US" w:eastAsia="zh-CN"/>
        </w:rPr>
        <w:t>0550-3017855</w:t>
      </w:r>
    </w:p>
    <w:p>
      <w:pPr>
        <w:spacing w:before="159" w:beforeLines="50" w:after="159" w:afterLines="50" w:line="440" w:lineRule="exact"/>
        <w:jc w:val="center"/>
        <w:outlineLvl w:val="0"/>
        <w:rPr>
          <w:rFonts w:hint="eastAsia" w:ascii="宋体" w:hAnsi="宋体" w:cs="宋体"/>
          <w:b/>
          <w:bCs/>
          <w:color w:val="auto"/>
          <w:sz w:val="28"/>
          <w:szCs w:val="28"/>
        </w:rPr>
      </w:pPr>
      <w:bookmarkStart w:id="34" w:name="_Toc13347"/>
      <w:bookmarkStart w:id="35" w:name="_Toc7281"/>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r>
        <w:rPr>
          <w:rFonts w:hint="eastAsia" w:ascii="宋体" w:hAnsi="宋体" w:cs="宋体"/>
          <w:b/>
          <w:bCs/>
          <w:color w:val="auto"/>
          <w:sz w:val="28"/>
          <w:szCs w:val="28"/>
        </w:rPr>
        <w:t>A、投标须知前附表</w:t>
      </w:r>
      <w:bookmarkEnd w:id="33"/>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2024年度</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w:t>
            </w:r>
            <w:r>
              <w:rPr>
                <w:rFonts w:hint="eastAsia" w:ascii="宋体" w:hAnsi="宋体" w:eastAsia="宋体" w:cs="宋体"/>
                <w:color w:val="auto"/>
                <w:kern w:val="0"/>
                <w:sz w:val="24"/>
                <w:szCs w:val="24"/>
                <w:lang w:eastAsia="zh-CN"/>
              </w:rPr>
              <w:t>跟踪审计</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1、成立项目跟踪项目组，编制跟踪审计实施方案，确定投资控制目标、重点环节及应对措施；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份，副本</w:t>
            </w:r>
            <w:r>
              <w:rPr>
                <w:rFonts w:hint="eastAsia" w:ascii="宋体" w:hAnsi="宋体" w:eastAsia="宋体" w:cs="宋体"/>
                <w:color w:val="auto"/>
                <w:kern w:val="0"/>
                <w:sz w:val="24"/>
                <w:szCs w:val="24"/>
                <w:u w:val="single"/>
              </w:rPr>
              <w:t xml:space="preserve"> 两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收件人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none"/>
                <w:lang w:eastAsia="zh-CN"/>
              </w:rPr>
              <w:t>滁州工投新能源开发有限公司</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21</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地点：滁州市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1306办公室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21</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yellow"/>
              </w:rPr>
            </w:pPr>
            <w:r>
              <w:rPr>
                <w:rFonts w:hint="eastAsia" w:ascii="宋体" w:hAnsi="宋体" w:eastAsia="宋体" w:cs="宋体"/>
                <w:color w:val="auto"/>
                <w:sz w:val="24"/>
                <w:szCs w:val="24"/>
                <w:highlight w:val="none"/>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yellow"/>
              </w:rPr>
            </w:pPr>
            <w:r>
              <w:rPr>
                <w:rFonts w:hint="eastAsia" w:ascii="宋体" w:hAnsi="宋体" w:cs="宋体"/>
                <w:b/>
                <w:bCs/>
                <w:color w:val="auto"/>
                <w:szCs w:val="21"/>
                <w:highlight w:val="none"/>
                <w:lang w:eastAsia="zh-CN"/>
              </w:rPr>
              <w:t>乙方及时完成项目审计工作并出具</w:t>
            </w:r>
            <w:r>
              <w:rPr>
                <w:rFonts w:hint="eastAsia" w:ascii="宋体" w:hAnsi="宋体" w:cs="宋体"/>
                <w:b/>
                <w:bCs/>
                <w:color w:val="auto"/>
                <w:szCs w:val="21"/>
                <w:highlight w:val="none"/>
                <w:lang w:val="en-US" w:eastAsia="zh-CN"/>
              </w:rPr>
              <w:t>审计</w:t>
            </w:r>
            <w:r>
              <w:rPr>
                <w:rFonts w:hint="eastAsia" w:ascii="宋体" w:hAnsi="宋体" w:cs="宋体"/>
                <w:b/>
                <w:bCs/>
                <w:color w:val="auto"/>
                <w:szCs w:val="21"/>
                <w:highlight w:val="none"/>
                <w:lang w:eastAsia="zh-CN"/>
              </w:rPr>
              <w:t>报告，交付甲方</w:t>
            </w:r>
            <w:r>
              <w:rPr>
                <w:rFonts w:hint="eastAsia" w:ascii="宋体" w:hAnsi="宋体" w:cs="宋体"/>
                <w:b/>
                <w:bCs/>
                <w:color w:val="auto"/>
                <w:szCs w:val="21"/>
                <w:highlight w:val="none"/>
                <w:lang w:val="en-US" w:eastAsia="zh-CN"/>
              </w:rPr>
              <w:t>审核</w:t>
            </w:r>
            <w:r>
              <w:rPr>
                <w:rFonts w:hint="eastAsia" w:ascii="宋体" w:hAnsi="宋体" w:cs="宋体"/>
                <w:b/>
                <w:bCs/>
                <w:color w:val="auto"/>
                <w:szCs w:val="21"/>
                <w:highlight w:val="none"/>
                <w:lang w:eastAsia="zh-CN"/>
              </w:rPr>
              <w:t>确认后，按照审计委托协议约定</w:t>
            </w:r>
            <w:r>
              <w:rPr>
                <w:rFonts w:hint="eastAsia" w:ascii="宋体" w:hAnsi="宋体" w:cs="宋体"/>
                <w:b/>
                <w:bCs/>
                <w:color w:val="auto"/>
                <w:szCs w:val="21"/>
                <w:highlight w:val="none"/>
                <w:lang w:val="en-US" w:eastAsia="zh-CN"/>
              </w:rPr>
              <w:t>开具增值税专用发票后甲方支付相应</w:t>
            </w:r>
            <w:r>
              <w:rPr>
                <w:rFonts w:hint="eastAsia" w:ascii="宋体" w:hAnsi="宋体" w:cs="宋体"/>
                <w:b/>
                <w:bCs/>
                <w:color w:val="auto"/>
                <w:szCs w:val="21"/>
                <w:highlight w:val="none"/>
                <w:lang w:eastAsia="zh-CN"/>
              </w:rPr>
              <w:t>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eastAsia="宋体" w:cs="宋体"/>
                <w:b/>
                <w:bCs/>
                <w:color w:val="auto"/>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招标文件获取方式：从微信公众号（滁州市工投公司）</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rPr>
              <w:t>中国扬子集团网站（http://www.yangzigroup.cn/）或自行下载投标文件；如投标人不及时下载招标文件，造成后果由投标人自负；</w:t>
            </w:r>
          </w:p>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1、如果过程中出现招标文件更改，应以最后发布的招标答疑澄清文件中的模板制作本项目最新投标文件。</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2、投标人单方面出现其他投标人材料的，由</w:t>
            </w:r>
            <w:r>
              <w:rPr>
                <w:rFonts w:hint="eastAsia" w:ascii="宋体" w:hAnsi="宋体" w:eastAsia="宋体" w:cs="宋体"/>
                <w:color w:val="auto"/>
                <w:sz w:val="24"/>
                <w:szCs w:val="24"/>
                <w:lang w:eastAsia="zh-CN"/>
              </w:rPr>
              <w:t>评标小组</w:t>
            </w:r>
            <w:r>
              <w:rPr>
                <w:rFonts w:hint="eastAsia" w:ascii="宋体" w:hAnsi="宋体" w:eastAsia="宋体" w:cs="宋体"/>
                <w:color w:val="auto"/>
                <w:sz w:val="24"/>
                <w:szCs w:val="24"/>
              </w:rPr>
              <w:t>否决其投标。</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lang w:val="en-US" w:eastAsia="zh-CN"/>
              </w:rPr>
              <w:t>3、拟派人员</w:t>
            </w:r>
            <w:r>
              <w:rPr>
                <w:rFonts w:hint="eastAsia" w:ascii="宋体" w:hAnsi="宋体" w:eastAsia="宋体" w:cs="宋体"/>
                <w:color w:val="auto"/>
                <w:sz w:val="24"/>
                <w:szCs w:val="24"/>
              </w:rPr>
              <w:t>实行考勤，考勤由建设单位或监理单位负责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项目负责人每月在岗时间不得少于22天，且每天驻场人员不得少于2人，否则扣除5000元/天，若发现三次以上，招标人有权清退出场。</w:t>
            </w:r>
          </w:p>
        </w:tc>
      </w:tr>
    </w:tbl>
    <w:p>
      <w:pPr>
        <w:spacing w:line="420" w:lineRule="exact"/>
        <w:rPr>
          <w:rFonts w:ascii="仿宋" w:hAnsi="仿宋" w:eastAsia="仿宋" w:cs="仿宋"/>
          <w:color w:val="auto"/>
          <w:sz w:val="32"/>
          <w:szCs w:val="32"/>
        </w:rPr>
      </w:pPr>
    </w:p>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6" w:name="_Toc24860"/>
      <w:bookmarkStart w:id="37" w:name="_Toc25340"/>
      <w:r>
        <w:rPr>
          <w:rFonts w:hint="eastAsia" w:ascii="宋体" w:hAnsi="宋体" w:eastAsia="宋体" w:cs="宋体"/>
          <w:color w:val="auto"/>
          <w:kern w:val="2"/>
          <w:sz w:val="28"/>
          <w:szCs w:val="28"/>
        </w:rPr>
        <w:t>第二章投标须知</w:t>
      </w:r>
      <w:bookmarkEnd w:id="36"/>
      <w:bookmarkEnd w:id="37"/>
    </w:p>
    <w:p>
      <w:pPr>
        <w:spacing w:before="95" w:beforeLines="30" w:after="95" w:afterLines="30" w:line="440" w:lineRule="exact"/>
        <w:jc w:val="center"/>
        <w:outlineLvl w:val="1"/>
        <w:rPr>
          <w:rFonts w:ascii="宋体" w:hAnsi="宋体" w:cs="宋体"/>
          <w:b/>
          <w:bCs/>
          <w:color w:val="auto"/>
          <w:sz w:val="24"/>
          <w:szCs w:val="24"/>
        </w:rPr>
      </w:pPr>
      <w:bookmarkStart w:id="38" w:name="_Toc515"/>
      <w:r>
        <w:rPr>
          <w:rFonts w:hint="eastAsia" w:ascii="宋体" w:hAnsi="宋体" w:cs="宋体"/>
          <w:b/>
          <w:bCs/>
          <w:color w:val="auto"/>
          <w:sz w:val="24"/>
          <w:szCs w:val="24"/>
        </w:rPr>
        <w:t>一、总  则</w:t>
      </w:r>
      <w:bookmarkEnd w:id="38"/>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cs="宋体"/>
          <w:color w:val="auto"/>
          <w:sz w:val="24"/>
          <w:szCs w:val="24"/>
          <w:highlight w:val="none"/>
          <w:lang w:val="en-US" w:eastAsia="zh-CN"/>
        </w:rPr>
        <w:t>2024年度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w:t>
      </w:r>
      <w:r>
        <w:rPr>
          <w:rFonts w:hint="eastAsia" w:ascii="宋体" w:hAnsi="宋体" w:cs="宋体"/>
          <w:color w:val="auto"/>
          <w:sz w:val="24"/>
          <w:szCs w:val="24"/>
          <w:lang w:eastAsia="zh-CN"/>
        </w:rPr>
        <w:t>项目跟踪审计</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cs="宋体"/>
          <w:color w:val="auto"/>
          <w:sz w:val="24"/>
          <w:szCs w:val="24"/>
          <w:lang w:val="en-US" w:eastAsia="zh-CN"/>
        </w:rPr>
        <w:t>滁州市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滁州工投新能源开发有限公司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w:t>
      </w:r>
      <w:r>
        <w:rPr>
          <w:rFonts w:hint="eastAsia" w:ascii="宋体" w:hAnsi="宋体" w:cs="宋体"/>
          <w:color w:val="auto"/>
          <w:sz w:val="24"/>
          <w:szCs w:val="24"/>
          <w:lang w:val="en-US" w:eastAsia="zh-CN"/>
        </w:rPr>
        <w:t>预计1500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u w:val="single"/>
        </w:rPr>
        <w:t xml:space="preserve">  固定</w:t>
      </w:r>
      <w:r>
        <w:rPr>
          <w:rFonts w:hint="eastAsia" w:ascii="宋体" w:hAnsi="宋体" w:cs="宋体"/>
          <w:color w:val="auto"/>
          <w:sz w:val="24"/>
          <w:szCs w:val="24"/>
          <w:u w:val="single"/>
          <w:lang w:val="en-US" w:eastAsia="zh-CN"/>
        </w:rPr>
        <w:t>费率</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综合评估</w:t>
      </w:r>
      <w:r>
        <w:rPr>
          <w:rFonts w:hint="eastAsia" w:ascii="宋体" w:hAnsi="宋体" w:cs="宋体"/>
          <w:color w:val="auto"/>
          <w:sz w:val="24"/>
          <w:szCs w:val="24"/>
          <w:u w:val="single"/>
        </w:rPr>
        <w:t>法</w:t>
      </w:r>
      <w:r>
        <w:rPr>
          <w:rFonts w:hint="eastAsia" w:ascii="宋体" w:hAnsi="宋体" w:cs="宋体"/>
          <w:color w:val="auto"/>
          <w:sz w:val="24"/>
          <w:szCs w:val="24"/>
        </w:rPr>
        <w:t>。</w:t>
      </w:r>
    </w:p>
    <w:p>
      <w:pPr>
        <w:spacing w:before="95" w:beforeLines="30" w:after="95" w:afterLines="30" w:line="440" w:lineRule="exact"/>
        <w:jc w:val="center"/>
        <w:outlineLvl w:val="1"/>
        <w:rPr>
          <w:rFonts w:ascii="宋体" w:hAnsi="宋体" w:cs="宋体"/>
          <w:color w:val="auto"/>
        </w:rPr>
      </w:pPr>
      <w:bookmarkStart w:id="39" w:name="_Toc29988"/>
      <w:r>
        <w:rPr>
          <w:rFonts w:hint="eastAsia" w:ascii="宋体" w:hAnsi="宋体" w:cs="宋体"/>
          <w:b/>
          <w:bCs/>
          <w:color w:val="auto"/>
          <w:sz w:val="24"/>
          <w:szCs w:val="24"/>
        </w:rPr>
        <w:t>二、招标文件</w:t>
      </w:r>
      <w:bookmarkEnd w:id="39"/>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第一章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合同条款</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第五章  投标文件格式</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招标单位对本招标文件的确认</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color w:val="auto"/>
          <w:kern w:val="0"/>
          <w:sz w:val="24"/>
          <w:szCs w:val="24"/>
          <w:lang w:val="zh-CN"/>
        </w:rPr>
        <w:t>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w:t>
      </w:r>
    </w:p>
    <w:p>
      <w:pPr>
        <w:spacing w:line="440" w:lineRule="exact"/>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en-US" w:eastAsia="zh-CN"/>
        </w:rPr>
        <w:t>在中国扬子集团网站（http://www.yangzigroup.cn/）及微信公众号（滁州市工投公司）予以公布</w:t>
      </w:r>
      <w:r>
        <w:rPr>
          <w:rFonts w:hint="eastAsia" w:ascii="宋体" w:hAnsi="宋体" w:eastAsia="宋体" w:cs="宋体"/>
          <w:color w:val="auto"/>
          <w:kern w:val="0"/>
          <w:sz w:val="24"/>
          <w:szCs w:val="24"/>
          <w:lang w:val="zh-CN"/>
        </w:rPr>
        <w:t>。招标文件的修改内容作为招标文件的组成部分，具有约束作用。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0"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0"/>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18</w:t>
      </w:r>
      <w:r>
        <w:rPr>
          <w:rFonts w:hint="eastAsia" w:ascii="宋体" w:hAnsi="宋体" w:eastAsia="宋体" w:cs="宋体"/>
          <w:b w:val="0"/>
          <w:bCs w:val="0"/>
          <w:color w:val="auto"/>
          <w:sz w:val="24"/>
          <w:szCs w:val="24"/>
        </w:rPr>
        <w:t>. 投标文件的组成</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．投标报价</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20</w:t>
      </w:r>
      <w:r>
        <w:rPr>
          <w:rFonts w:hint="eastAsia" w:ascii="宋体" w:hAnsi="宋体" w:cs="宋体"/>
          <w:color w:val="auto"/>
          <w:sz w:val="24"/>
          <w:szCs w:val="24"/>
        </w:rPr>
        <w:t>.投标有效期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 投标保证金</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1" w:name="_Toc27519"/>
      <w:r>
        <w:rPr>
          <w:rFonts w:hint="eastAsia" w:ascii="宋体" w:hAnsi="宋体" w:cs="宋体"/>
          <w:b/>
          <w:bCs/>
          <w:color w:val="auto"/>
          <w:sz w:val="24"/>
          <w:szCs w:val="24"/>
        </w:rPr>
        <w:t>四、投标文件的密封和递交</w:t>
      </w:r>
      <w:bookmarkEnd w:id="41"/>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.1  投标文件：书面文件一式</w:t>
      </w:r>
      <w:r>
        <w:rPr>
          <w:rFonts w:hint="eastAsia" w:ascii="宋体" w:hAnsi="宋体" w:cs="宋体"/>
          <w:color w:val="auto"/>
          <w:sz w:val="24"/>
          <w:szCs w:val="24"/>
          <w:u w:val="single"/>
        </w:rPr>
        <w:t xml:space="preserve"> 叁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贰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.2.1投标人应当将投标文件正本、副本密封在文件袋内。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.2.1招标人在本须知第2</w:t>
      </w:r>
      <w:r>
        <w:rPr>
          <w:rFonts w:hint="eastAsia" w:ascii="宋体" w:hAnsi="宋体" w:cs="宋体"/>
          <w:color w:val="auto"/>
          <w:sz w:val="24"/>
          <w:szCs w:val="24"/>
          <w:lang w:val="en-US" w:eastAsia="zh-CN"/>
        </w:rPr>
        <w:t>4</w:t>
      </w:r>
      <w:r>
        <w:rPr>
          <w:rFonts w:hint="eastAsia" w:ascii="宋体" w:hAnsi="宋体" w:cs="宋体"/>
          <w:color w:val="auto"/>
          <w:sz w:val="24"/>
          <w:szCs w:val="24"/>
        </w:rPr>
        <w:t>.1款规定的投标截止时间以后收到的投标文件，将被拒绝并退回给投标人。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.2  投标人对投标文件的补充、修改，应按本须知第2</w:t>
      </w:r>
      <w:r>
        <w:rPr>
          <w:rFonts w:hint="eastAsia" w:ascii="宋体" w:hAnsi="宋体" w:cs="宋体"/>
          <w:color w:val="auto"/>
          <w:sz w:val="24"/>
          <w:szCs w:val="24"/>
          <w:lang w:val="en-US" w:eastAsia="zh-CN"/>
        </w:rPr>
        <w:t>2</w:t>
      </w:r>
      <w:r>
        <w:rPr>
          <w:rFonts w:hint="eastAsia" w:ascii="宋体" w:hAnsi="宋体" w:cs="宋体"/>
          <w:color w:val="auto"/>
          <w:sz w:val="24"/>
          <w:szCs w:val="24"/>
        </w:rPr>
        <w:t>条、第2</w:t>
      </w:r>
      <w:r>
        <w:rPr>
          <w:rFonts w:hint="eastAsia" w:ascii="宋体" w:hAnsi="宋体" w:cs="宋体"/>
          <w:color w:val="auto"/>
          <w:sz w:val="24"/>
          <w:szCs w:val="24"/>
          <w:lang w:val="en-US" w:eastAsia="zh-CN"/>
        </w:rPr>
        <w:t>3</w:t>
      </w:r>
      <w:r>
        <w:rPr>
          <w:rFonts w:hint="eastAsia" w:ascii="宋体" w:hAnsi="宋体" w:cs="宋体"/>
          <w:color w:val="auto"/>
          <w:sz w:val="24"/>
          <w:szCs w:val="24"/>
        </w:rPr>
        <w:t>条和第2</w:t>
      </w:r>
      <w:r>
        <w:rPr>
          <w:rFonts w:hint="eastAsia" w:ascii="宋体" w:hAnsi="宋体" w:cs="宋体"/>
          <w:color w:val="auto"/>
          <w:sz w:val="24"/>
          <w:szCs w:val="24"/>
          <w:lang w:val="en-US" w:eastAsia="zh-CN"/>
        </w:rPr>
        <w:t>4</w:t>
      </w:r>
      <w:r>
        <w:rPr>
          <w:rFonts w:hint="eastAsia" w:ascii="宋体" w:hAnsi="宋体" w:cs="宋体"/>
          <w:color w:val="auto"/>
          <w:sz w:val="24"/>
          <w:szCs w:val="24"/>
        </w:rPr>
        <w:t>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2" w:name="_Toc18173"/>
      <w:r>
        <w:rPr>
          <w:rFonts w:hint="eastAsia" w:ascii="宋体" w:hAnsi="宋体" w:cs="宋体"/>
          <w:b/>
          <w:bCs/>
          <w:color w:val="auto"/>
          <w:sz w:val="24"/>
          <w:szCs w:val="24"/>
        </w:rPr>
        <w:t>五、开标、评标和定标</w:t>
      </w:r>
      <w:bookmarkEnd w:id="42"/>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.1.1招标人按本须知第2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.1条提交投标文件的截止时间和地点公开开标，并邀请所有投标人参加。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ind w:right="-334" w:rightChars="-159"/>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.3.1 投标人的法定代表人（或委托代理人）必须准时参加开标会议</w:t>
      </w:r>
      <w:r>
        <w:rPr>
          <w:rFonts w:hint="eastAsia" w:ascii="宋体" w:hAnsi="宋体" w:eastAsia="宋体" w:cs="宋体"/>
          <w:b/>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①开标会议由招标</w:t>
      </w:r>
      <w:r>
        <w:rPr>
          <w:rFonts w:hint="eastAsia" w:ascii="宋体" w:hAnsi="宋体" w:cs="宋体"/>
          <w:color w:val="auto"/>
          <w:sz w:val="24"/>
          <w:szCs w:val="24"/>
          <w:lang w:val="en-US" w:eastAsia="zh-CN"/>
        </w:rPr>
        <w:t>人</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滁州工投新能源开发有限公司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（招标公司）主持；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②公布在投标截止时间前递交投标文件的投标人名称，并确认投标单位相关人员是否到场；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③由投标人或其推选的代表检查投标文件的密封情况，也可以由招标人委托的公证机构检查并公证；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⑥</w:t>
      </w:r>
      <w:r>
        <w:rPr>
          <w:rFonts w:hint="eastAsia" w:ascii="宋体" w:hAnsi="宋体" w:cs="宋体"/>
          <w:color w:val="auto"/>
          <w:sz w:val="24"/>
          <w:szCs w:val="24"/>
          <w:lang w:val="en-US" w:eastAsia="zh-CN"/>
        </w:rPr>
        <w:t>招标</w:t>
      </w:r>
      <w:r>
        <w:rPr>
          <w:rFonts w:hint="eastAsia" w:ascii="宋体" w:hAnsi="宋体" w:eastAsia="宋体" w:cs="宋体"/>
          <w:color w:val="auto"/>
          <w:sz w:val="24"/>
          <w:szCs w:val="24"/>
        </w:rPr>
        <w:t>公司对开标过程进行记录，并存档备查。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.1.1</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3" w:name="_Toc21491"/>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.1.1除投标人须知前附表规定</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推荐的中标候选人确定中标人，</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应将中标信息在网站上公告。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 中标通知书</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应在中标人确定之日起2个工作日内，向中标人发出中标通知书。</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3"/>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.1  本招标工程的合同授予按本须知第</w:t>
      </w:r>
      <w:r>
        <w:rPr>
          <w:rFonts w:hint="eastAsia" w:ascii="宋体" w:hAnsi="宋体" w:cs="宋体"/>
          <w:color w:val="auto"/>
          <w:sz w:val="24"/>
          <w:szCs w:val="24"/>
          <w:lang w:val="en-US" w:eastAsia="zh-CN"/>
        </w:rPr>
        <w:t>29</w:t>
      </w:r>
      <w:r>
        <w:rPr>
          <w:rFonts w:hint="eastAsia" w:ascii="宋体" w:hAnsi="宋体" w:cs="宋体"/>
          <w:color w:val="auto"/>
          <w:sz w:val="24"/>
          <w:szCs w:val="24"/>
        </w:rPr>
        <w:t>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.2  招标人如不按本投标须知第3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.3  中标人如不按本投标须知第3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4" w:name="_Toc449028874"/>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4"/>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3</w:t>
      </w:r>
      <w:r>
        <w:rPr>
          <w:rFonts w:hint="eastAsia" w:ascii="宋体"/>
          <w:b/>
          <w:color w:val="auto"/>
          <w:sz w:val="24"/>
          <w:szCs w:val="24"/>
          <w:highlight w:val="none"/>
        </w:rPr>
        <w:t>.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3</w:t>
      </w:r>
      <w:r>
        <w:rPr>
          <w:rFonts w:hint="eastAsia" w:ascii="宋体"/>
          <w:color w:val="auto"/>
          <w:kern w:val="10"/>
          <w:sz w:val="24"/>
          <w:szCs w:val="24"/>
          <w:highlight w:val="none"/>
        </w:rPr>
        <w:t>.1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4</w:t>
      </w:r>
      <w:r>
        <w:rPr>
          <w:rFonts w:hint="eastAsia" w:ascii="宋体"/>
          <w:b/>
          <w:color w:val="auto"/>
          <w:sz w:val="24"/>
          <w:szCs w:val="24"/>
          <w:highlight w:val="none"/>
        </w:rPr>
        <w:t xml:space="preserve">.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4</w:t>
      </w:r>
      <w:r>
        <w:rPr>
          <w:rFonts w:hint="eastAsia" w:ascii="宋体"/>
          <w:color w:val="auto"/>
          <w:kern w:val="10"/>
          <w:sz w:val="24"/>
          <w:szCs w:val="24"/>
          <w:highlight w:val="none"/>
        </w:rPr>
        <w:t>.1投标人不得相互串通投标或者与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5</w:t>
      </w:r>
      <w:r>
        <w:rPr>
          <w:rFonts w:hint="eastAsia" w:ascii="宋体"/>
          <w:b/>
          <w:color w:val="auto"/>
          <w:sz w:val="24"/>
          <w:szCs w:val="24"/>
          <w:highlight w:val="none"/>
        </w:rPr>
        <w:t>. 对</w:t>
      </w:r>
      <w:r>
        <w:rPr>
          <w:rFonts w:hint="eastAsia" w:ascii="宋体"/>
          <w:b/>
          <w:color w:val="auto"/>
          <w:sz w:val="24"/>
          <w:szCs w:val="24"/>
          <w:highlight w:val="none"/>
          <w:lang w:eastAsia="zh-CN"/>
        </w:rPr>
        <w:t>评标小组</w:t>
      </w:r>
      <w:r>
        <w:rPr>
          <w:rFonts w:hint="eastAsia" w:ascii="宋体"/>
          <w:b/>
          <w:color w:val="auto"/>
          <w:sz w:val="24"/>
          <w:szCs w:val="24"/>
          <w:highlight w:val="none"/>
        </w:rPr>
        <w:t xml:space="preserve">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.1</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.2在评标活动中，</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 xml:space="preserve">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lang w:val="en-US" w:eastAsia="zh-CN"/>
        </w:rPr>
        <w:t>36</w:t>
      </w:r>
      <w:r>
        <w:rPr>
          <w:rFonts w:hint="eastAsia" w:ascii="宋体"/>
          <w:b/>
          <w:color w:val="auto"/>
          <w:sz w:val="24"/>
          <w:szCs w:val="24"/>
          <w:highlight w:val="none"/>
        </w:rPr>
        <w:t xml:space="preserve">.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lang w:val="en-US" w:eastAsia="zh-CN"/>
        </w:rPr>
        <w:t>36</w:t>
      </w:r>
      <w:r>
        <w:rPr>
          <w:rFonts w:hint="eastAsia" w:ascii="宋体"/>
          <w:color w:val="auto"/>
          <w:kern w:val="10"/>
          <w:sz w:val="24"/>
          <w:szCs w:val="24"/>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5" w:name="_Toc449028875"/>
      <w:r>
        <w:rPr>
          <w:rFonts w:hint="eastAsia" w:ascii="宋体" w:hAnsi="宋体" w:eastAsia="宋体" w:cs="宋体"/>
          <w:b/>
          <w:bCs/>
          <w:color w:val="auto"/>
          <w:sz w:val="24"/>
          <w:szCs w:val="24"/>
          <w:lang w:val="en-US" w:eastAsia="zh-CN"/>
        </w:rPr>
        <w:t>八、质疑与投诉</w:t>
      </w:r>
      <w:bookmarkEnd w:id="45"/>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lang w:val="en-US" w:eastAsia="zh-CN"/>
        </w:rPr>
        <w:t>37</w:t>
      </w:r>
      <w:r>
        <w:rPr>
          <w:rFonts w:hint="eastAsia" w:ascii="宋体" w:hAnsi="宋体"/>
          <w:b/>
          <w:color w:val="auto"/>
          <w:sz w:val="24"/>
          <w:szCs w:val="24"/>
          <w:highlight w:val="none"/>
        </w:rPr>
        <w:t xml:space="preserve">.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结果有异议，可在公示期内以书面形式，并在工作时间内（上午8:00-12:00</w:t>
      </w:r>
      <w:r>
        <w:rPr>
          <w:rFonts w:hint="eastAsia" w:ascii="宋体" w:cs="Times New Roman"/>
          <w:color w:val="auto"/>
          <w:kern w:val="10"/>
          <w:sz w:val="24"/>
          <w:szCs w:val="24"/>
          <w:highlight w:val="none"/>
          <w:lang w:eastAsia="zh-CN"/>
        </w:rPr>
        <w:t>，</w:t>
      </w:r>
      <w:r>
        <w:rPr>
          <w:rFonts w:hint="eastAsia" w:ascii="宋体" w:hAnsi="Times New Roman" w:eastAsia="宋体" w:cs="Times New Roman"/>
          <w:color w:val="auto"/>
          <w:kern w:val="10"/>
          <w:sz w:val="24"/>
          <w:szCs w:val="24"/>
          <w:highlight w:val="none"/>
          <w:lang w:eastAsia="zh-CN"/>
        </w:rPr>
        <w:t>下午2:30-5:30）向招标人提出异议。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（1）异议人的名称、地址、有效联系方式；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（2）项目名称、项目编号、标段号（如有）；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（3）被异议人名称；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（4）具体的异议事项、基本事实及必要的证明材料；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（5）明确的请求及主张；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（6）提起异议的日期。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（8）异议人需要修改、补充异议材料的，应当在招标人规定的期限内提交修改或补充材料。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val="en-US" w:eastAsia="zh-CN"/>
        </w:rPr>
        <w:t>.2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（1）提出异议的主体不是所异议项目投标人或者其他利害关系人的；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异议材料不完整的；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异议事项含有主观猜测等内容且未提供有效线索、难以查证的；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对其他投标人的投标文件详细内容异议，无法提供合法来源渠道的；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38</w:t>
      </w:r>
      <w:r>
        <w:rPr>
          <w:rFonts w:hint="eastAsia" w:ascii="宋体" w:hAnsi="宋体"/>
          <w:b/>
          <w:color w:val="auto"/>
          <w:sz w:val="24"/>
          <w:szCs w:val="24"/>
          <w:highlight w:val="none"/>
        </w:rPr>
        <w:t>.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lang w:val="en-US" w:eastAsia="zh-CN"/>
        </w:rPr>
        <w:t>38</w:t>
      </w:r>
      <w:r>
        <w:rPr>
          <w:rFonts w:hint="eastAsia" w:ascii="宋体" w:hAnsi="宋体"/>
          <w:color w:val="auto"/>
          <w:sz w:val="24"/>
          <w:szCs w:val="24"/>
          <w:highlight w:val="none"/>
        </w:rPr>
        <w:t>.1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38.2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auto"/>
          <w:sz w:val="32"/>
          <w:szCs w:val="32"/>
          <w:highlight w:val="none"/>
        </w:rPr>
      </w:pPr>
      <w:bookmarkStart w:id="46" w:name="_Toc10808"/>
      <w:bookmarkStart w:id="47" w:name="_Toc58430316"/>
      <w:bookmarkStart w:id="48" w:name="_Toc3222"/>
      <w:bookmarkStart w:id="49" w:name="_Toc12737"/>
      <w:bookmarkStart w:id="50" w:name="_Toc31589_WPSOffice_Level1"/>
      <w:r>
        <w:rPr>
          <w:rFonts w:hint="eastAsia" w:ascii="宋体"/>
          <w:b/>
          <w:color w:val="auto"/>
          <w:sz w:val="32"/>
          <w:szCs w:val="32"/>
          <w:highlight w:val="none"/>
        </w:rPr>
        <w:t>第三章 评标办法（</w:t>
      </w:r>
      <w:r>
        <w:rPr>
          <w:rFonts w:hint="eastAsia" w:ascii="宋体"/>
          <w:b/>
          <w:color w:val="auto"/>
          <w:sz w:val="32"/>
          <w:szCs w:val="32"/>
          <w:highlight w:val="none"/>
          <w:lang w:eastAsia="zh-CN"/>
        </w:rPr>
        <w:t>综合评估法</w:t>
      </w:r>
      <w:r>
        <w:rPr>
          <w:rFonts w:hint="eastAsia" w:ascii="宋体"/>
          <w:b/>
          <w:color w:val="auto"/>
          <w:sz w:val="32"/>
          <w:szCs w:val="32"/>
          <w:highlight w:val="none"/>
        </w:rPr>
        <w:t>）</w:t>
      </w:r>
      <w:bookmarkEnd w:id="46"/>
      <w:bookmarkEnd w:id="47"/>
    </w:p>
    <w:p>
      <w:pPr>
        <w:spacing w:before="156" w:beforeLines="50" w:after="156" w:afterLines="50" w:line="440" w:lineRule="exact"/>
        <w:jc w:val="center"/>
        <w:outlineLvl w:val="1"/>
        <w:rPr>
          <w:rFonts w:hint="eastAsia" w:ascii="宋体"/>
          <w:b/>
          <w:color w:val="auto"/>
          <w:sz w:val="28"/>
          <w:szCs w:val="28"/>
          <w:highlight w:val="none"/>
        </w:rPr>
      </w:pPr>
      <w:bookmarkStart w:id="51" w:name="_Toc58430317"/>
      <w:bookmarkStart w:id="52" w:name="_Toc362983801"/>
      <w:bookmarkStart w:id="53" w:name="_Toc449028877"/>
      <w:bookmarkStart w:id="54" w:name="_Toc267320058"/>
      <w:bookmarkStart w:id="55" w:name="_Toc363135205"/>
      <w:r>
        <w:rPr>
          <w:rFonts w:hint="eastAsia" w:ascii="宋体"/>
          <w:b/>
          <w:color w:val="auto"/>
          <w:sz w:val="28"/>
          <w:szCs w:val="28"/>
          <w:highlight w:val="none"/>
        </w:rPr>
        <w:t>一、总</w:t>
      </w:r>
      <w:r>
        <w:rPr>
          <w:rFonts w:hint="eastAsia" w:ascii="宋体"/>
          <w:b/>
          <w:color w:val="auto"/>
          <w:sz w:val="28"/>
          <w:szCs w:val="28"/>
          <w:highlight w:val="none"/>
          <w:lang w:val="en-US" w:eastAsia="zh-CN"/>
        </w:rPr>
        <w:t xml:space="preserve"> </w:t>
      </w:r>
      <w:r>
        <w:rPr>
          <w:rFonts w:hint="eastAsia" w:ascii="宋体"/>
          <w:b/>
          <w:color w:val="auto"/>
          <w:sz w:val="28"/>
          <w:szCs w:val="28"/>
          <w:highlight w:val="none"/>
        </w:rPr>
        <w:t>则</w:t>
      </w:r>
      <w:bookmarkEnd w:id="51"/>
      <w:bookmarkEnd w:id="52"/>
      <w:bookmarkEnd w:id="53"/>
    </w:p>
    <w:p>
      <w:pPr>
        <w:spacing w:line="440" w:lineRule="exact"/>
        <w:ind w:firstLine="361" w:firstLineChars="150"/>
        <w:jc w:val="left"/>
        <w:rPr>
          <w:rFonts w:hint="eastAsia" w:ascii="宋体" w:eastAsia="宋体"/>
          <w:b/>
          <w:color w:val="auto"/>
          <w:sz w:val="24"/>
          <w:szCs w:val="24"/>
          <w:highlight w:val="none"/>
          <w:lang w:eastAsia="zh-CN"/>
        </w:rPr>
      </w:pPr>
      <w:r>
        <w:rPr>
          <w:rFonts w:hint="eastAsia" w:ascii="宋体"/>
          <w:b/>
          <w:color w:val="auto"/>
          <w:sz w:val="24"/>
          <w:szCs w:val="24"/>
          <w:highlight w:val="none"/>
        </w:rPr>
        <w:t xml:space="preserve"> 1. 本次评标采用</w:t>
      </w:r>
      <w:r>
        <w:rPr>
          <w:rFonts w:hint="eastAsia" w:ascii="宋体"/>
          <w:b/>
          <w:color w:val="auto"/>
          <w:sz w:val="24"/>
          <w:szCs w:val="24"/>
          <w:highlight w:val="none"/>
          <w:lang w:eastAsia="zh-CN"/>
        </w:rPr>
        <w:t>综合评估法</w:t>
      </w:r>
    </w:p>
    <w:p>
      <w:pPr>
        <w:spacing w:line="400" w:lineRule="exact"/>
        <w:ind w:firstLine="480" w:firstLineChars="200"/>
        <w:jc w:val="left"/>
        <w:rPr>
          <w:rFonts w:hint="eastAsia" w:ascii="宋体" w:hAnsi="宋体"/>
          <w:color w:val="auto"/>
          <w:sz w:val="24"/>
          <w:szCs w:val="24"/>
          <w:highlight w:val="none"/>
        </w:rPr>
      </w:pPr>
      <w:r>
        <w:rPr>
          <w:rFonts w:hint="eastAsia" w:ascii="宋体"/>
          <w:color w:val="auto"/>
          <w:sz w:val="24"/>
          <w:szCs w:val="24"/>
          <w:highlight w:val="none"/>
        </w:rPr>
        <w:t>1.1</w:t>
      </w:r>
      <w:r>
        <w:rPr>
          <w:rFonts w:hint="eastAsia" w:ascii="宋体"/>
          <w:color w:val="auto"/>
          <w:sz w:val="24"/>
          <w:szCs w:val="24"/>
          <w:highlight w:val="none"/>
          <w:lang w:eastAsia="zh-CN"/>
        </w:rPr>
        <w:t>综合评估法</w:t>
      </w:r>
      <w:r>
        <w:rPr>
          <w:rFonts w:hint="eastAsia" w:ascii="宋体"/>
          <w:color w:val="auto"/>
          <w:sz w:val="24"/>
          <w:szCs w:val="24"/>
          <w:highlight w:val="none"/>
        </w:rPr>
        <w:t>是指投标文件满足招标文件全部实质性要求且按照评审因素的量化指标评审总得分从高到低的</w:t>
      </w:r>
      <w:r>
        <w:rPr>
          <w:rFonts w:hint="eastAsia" w:ascii="宋体"/>
          <w:color w:val="auto"/>
          <w:sz w:val="24"/>
          <w:szCs w:val="24"/>
          <w:highlight w:val="none"/>
          <w:lang w:eastAsia="zh-CN"/>
        </w:rPr>
        <w:t>投标人</w:t>
      </w:r>
      <w:r>
        <w:rPr>
          <w:rFonts w:hint="eastAsia" w:ascii="宋体"/>
          <w:color w:val="auto"/>
          <w:sz w:val="24"/>
          <w:szCs w:val="24"/>
          <w:highlight w:val="none"/>
        </w:rPr>
        <w:t>为中标候选人的评标方法。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 1.2</w:t>
      </w:r>
      <w:r>
        <w:rPr>
          <w:rFonts w:hint="eastAsia" w:ascii="宋体"/>
          <w:color w:val="auto"/>
          <w:sz w:val="24"/>
          <w:szCs w:val="24"/>
          <w:highlight w:val="none"/>
          <w:lang w:eastAsia="zh-CN"/>
        </w:rPr>
        <w:t>综合评估法</w:t>
      </w:r>
      <w:r>
        <w:rPr>
          <w:rFonts w:hint="eastAsia" w:ascii="宋体"/>
          <w:color w:val="auto"/>
          <w:sz w:val="24"/>
          <w:szCs w:val="24"/>
          <w:highlight w:val="none"/>
        </w:rPr>
        <w:t>一般适用于较为复杂、评价指标难以量化且价格为非主要因素的非标准定制商品和非通用服务项目的项目评审。</w:t>
      </w:r>
    </w:p>
    <w:p>
      <w:pPr>
        <w:spacing w:line="440" w:lineRule="exact"/>
        <w:ind w:firstLine="482" w:firstLineChars="200"/>
        <w:rPr>
          <w:rFonts w:hint="eastAsia" w:ascii="宋体"/>
          <w:b/>
          <w:color w:val="auto"/>
          <w:sz w:val="24"/>
          <w:szCs w:val="24"/>
          <w:highlight w:val="none"/>
        </w:rPr>
      </w:pPr>
      <w:r>
        <w:rPr>
          <w:rFonts w:hint="eastAsia" w:ascii="宋体"/>
          <w:b/>
          <w:color w:val="auto"/>
          <w:sz w:val="24"/>
          <w:szCs w:val="24"/>
          <w:highlight w:val="none"/>
        </w:rPr>
        <w:t>2．评标程序</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2.1投标文件的初审</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2.1.1资格性检查。依据法律法规和招标文件的规定，对投标文件进行审查，以确定投标人是否具备投标资格。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2.2投标文件的澄清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2.2.1在评标过程中，</w:t>
      </w:r>
      <w:r>
        <w:rPr>
          <w:rFonts w:hint="eastAsia" w:ascii="宋体"/>
          <w:color w:val="auto"/>
          <w:sz w:val="24"/>
          <w:szCs w:val="24"/>
          <w:highlight w:val="none"/>
          <w:lang w:val="en-US" w:eastAsia="zh-CN"/>
        </w:rPr>
        <w:t>评标小组</w:t>
      </w:r>
      <w:r>
        <w:rPr>
          <w:rFonts w:hint="eastAsia" w:ascii="宋体"/>
          <w:color w:val="auto"/>
          <w:sz w:val="24"/>
          <w:szCs w:val="24"/>
          <w:highlight w:val="none"/>
        </w:rPr>
        <w:t>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2.2.3  </w:t>
      </w:r>
      <w:r>
        <w:rPr>
          <w:rFonts w:hint="eastAsia" w:ascii="宋体"/>
          <w:color w:val="auto"/>
          <w:sz w:val="24"/>
          <w:szCs w:val="24"/>
          <w:highlight w:val="none"/>
          <w:lang w:eastAsia="zh-CN"/>
        </w:rPr>
        <w:t>招标人</w:t>
      </w:r>
      <w:r>
        <w:rPr>
          <w:rFonts w:hint="eastAsia" w:ascii="宋体"/>
          <w:color w:val="auto"/>
          <w:sz w:val="24"/>
          <w:szCs w:val="24"/>
          <w:highlight w:val="none"/>
        </w:rPr>
        <w:t>不接受投标人主动提出的澄清。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2.3比较与评价</w:t>
      </w:r>
    </w:p>
    <w:p>
      <w:pPr>
        <w:spacing w:line="440" w:lineRule="exact"/>
        <w:ind w:firstLine="480" w:firstLineChars="200"/>
        <w:jc w:val="left"/>
        <w:rPr>
          <w:rFonts w:hint="eastAsia" w:ascii="宋体" w:eastAsia="宋体"/>
          <w:color w:val="auto"/>
          <w:sz w:val="24"/>
          <w:szCs w:val="24"/>
          <w:highlight w:val="none"/>
          <w:lang w:eastAsia="zh-CN"/>
        </w:rPr>
      </w:pPr>
      <w:r>
        <w:rPr>
          <w:rFonts w:hint="eastAsia" w:ascii="宋体"/>
          <w:color w:val="auto"/>
          <w:sz w:val="24"/>
          <w:szCs w:val="24"/>
          <w:highlight w:val="none"/>
        </w:rPr>
        <w:t xml:space="preserve">2．3.1按招标文件中规定的评标方法和标准，对资格性检查和符合性检查合格的投标文件进行资信、商务评估，综合比较与评价。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2.4推荐中标候选人名单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2.4.1中标候选人数量应当根据采购需要确定，但必须按顺序排列中标候选人。</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2.5在投标文件的审查、澄清、评价和比较以及授予合同过程中，投标人对</w:t>
      </w:r>
      <w:r>
        <w:rPr>
          <w:rFonts w:hint="eastAsia" w:ascii="宋体"/>
          <w:color w:val="auto"/>
          <w:sz w:val="24"/>
          <w:szCs w:val="24"/>
          <w:highlight w:val="none"/>
          <w:lang w:eastAsia="zh-CN"/>
        </w:rPr>
        <w:t>招标人</w:t>
      </w:r>
      <w:r>
        <w:rPr>
          <w:rFonts w:hint="eastAsia" w:ascii="宋体"/>
          <w:color w:val="auto"/>
          <w:sz w:val="24"/>
          <w:szCs w:val="24"/>
          <w:highlight w:val="none"/>
        </w:rPr>
        <w:t>和评标</w:t>
      </w:r>
      <w:r>
        <w:rPr>
          <w:rFonts w:hint="eastAsia" w:ascii="宋体"/>
          <w:color w:val="auto"/>
          <w:sz w:val="24"/>
          <w:szCs w:val="24"/>
          <w:highlight w:val="none"/>
          <w:lang w:val="en-US" w:eastAsia="zh-CN"/>
        </w:rPr>
        <w:t>小组</w:t>
      </w:r>
      <w:r>
        <w:rPr>
          <w:rFonts w:hint="eastAsia" w:ascii="宋体"/>
          <w:color w:val="auto"/>
          <w:sz w:val="24"/>
          <w:szCs w:val="24"/>
          <w:highlight w:val="none"/>
        </w:rPr>
        <w:t>成员施加影响的任何行为，都将导致取消其中标资格。</w:t>
      </w:r>
    </w:p>
    <w:p>
      <w:pPr>
        <w:spacing w:before="156" w:beforeLines="50" w:after="156" w:afterLines="50" w:line="360" w:lineRule="auto"/>
        <w:outlineLvl w:val="1"/>
        <w:rPr>
          <w:rFonts w:ascii="宋体"/>
          <w:b/>
          <w:color w:val="auto"/>
          <w:sz w:val="24"/>
          <w:szCs w:val="24"/>
          <w:highlight w:val="none"/>
        </w:rPr>
        <w:sectPr>
          <w:footerReference r:id="rId9" w:type="default"/>
          <w:pgSz w:w="11906" w:h="16838"/>
          <w:pgMar w:top="1440" w:right="1040" w:bottom="1440" w:left="1406" w:header="851" w:footer="992" w:gutter="0"/>
          <w:pgNumType w:fmt="decimal" w:start="1"/>
          <w:cols w:space="720" w:num="1"/>
          <w:docGrid w:type="lines" w:linePitch="312" w:charSpace="0"/>
        </w:sectPr>
      </w:pPr>
      <w:bookmarkStart w:id="56" w:name="_Toc362983802"/>
    </w:p>
    <w:p>
      <w:pPr>
        <w:jc w:val="center"/>
        <w:outlineLvl w:val="1"/>
        <w:rPr>
          <w:rFonts w:hint="eastAsia" w:ascii="宋体"/>
          <w:b/>
          <w:color w:val="auto"/>
          <w:sz w:val="28"/>
          <w:szCs w:val="28"/>
          <w:highlight w:val="none"/>
        </w:rPr>
      </w:pPr>
      <w:bookmarkStart w:id="57" w:name="_Toc58430318"/>
      <w:bookmarkStart w:id="58" w:name="_Toc449028878"/>
      <w:r>
        <w:rPr>
          <w:rFonts w:hint="eastAsia" w:ascii="宋体"/>
          <w:b/>
          <w:color w:val="auto"/>
          <w:sz w:val="28"/>
          <w:szCs w:val="28"/>
          <w:highlight w:val="none"/>
        </w:rPr>
        <w:t>二、投标文件初审</w:t>
      </w:r>
      <w:bookmarkEnd w:id="56"/>
      <w:bookmarkEnd w:id="57"/>
      <w:bookmarkEnd w:id="58"/>
    </w:p>
    <w:p>
      <w:pPr>
        <w:ind w:firstLine="354" w:firstLineChars="147"/>
        <w:rPr>
          <w:rFonts w:hint="eastAsia" w:ascii="宋体"/>
          <w:b/>
          <w:color w:val="auto"/>
          <w:sz w:val="24"/>
          <w:szCs w:val="24"/>
          <w:highlight w:val="none"/>
        </w:rPr>
      </w:pPr>
      <w:r>
        <w:rPr>
          <w:rFonts w:hint="eastAsia" w:ascii="宋体"/>
          <w:b/>
          <w:color w:val="auto"/>
          <w:sz w:val="24"/>
          <w:szCs w:val="24"/>
          <w:highlight w:val="none"/>
        </w:rPr>
        <w:t>3.资格性审查</w:t>
      </w:r>
      <w:r>
        <w:rPr>
          <w:rFonts w:hint="eastAsia" w:ascii="宋体"/>
          <w:b/>
          <w:color w:val="auto"/>
          <w:sz w:val="24"/>
          <w:szCs w:val="24"/>
          <w:highlight w:val="none"/>
          <w:lang w:eastAsia="zh-CN"/>
        </w:rPr>
        <w:t>：</w:t>
      </w:r>
    </w:p>
    <w:p>
      <w:pPr>
        <w:spacing w:line="400" w:lineRule="exact"/>
        <w:ind w:firstLine="352" w:firstLineChars="147"/>
        <w:rPr>
          <w:rFonts w:hint="eastAsia"/>
          <w:color w:val="auto"/>
          <w:sz w:val="24"/>
          <w:szCs w:val="24"/>
          <w:highlight w:val="none"/>
        </w:rPr>
      </w:pPr>
      <w:r>
        <w:rPr>
          <w:rFonts w:hint="eastAsia" w:ascii="宋体"/>
          <w:color w:val="auto"/>
          <w:sz w:val="24"/>
          <w:szCs w:val="24"/>
          <w:highlight w:val="none"/>
        </w:rPr>
        <w:t>3.1</w:t>
      </w:r>
      <w:r>
        <w:rPr>
          <w:rFonts w:hint="eastAsia"/>
          <w:color w:val="auto"/>
          <w:sz w:val="24"/>
          <w:szCs w:val="24"/>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条款号</w:t>
            </w:r>
          </w:p>
        </w:tc>
        <w:tc>
          <w:tcPr>
            <w:tcW w:w="8344" w:type="dxa"/>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1</w:t>
            </w:r>
          </w:p>
        </w:tc>
        <w:tc>
          <w:tcPr>
            <w:tcW w:w="1061" w:type="dxa"/>
            <w:vMerge w:val="restart"/>
            <w:noWrap w:val="0"/>
            <w:vAlign w:val="center"/>
          </w:tcPr>
          <w:p>
            <w:pPr>
              <w:spacing w:line="440" w:lineRule="exact"/>
              <w:jc w:val="center"/>
              <w:rPr>
                <w:rFonts w:hint="eastAsia" w:ascii="宋体" w:hAnsi="宋体" w:cs="宋体"/>
                <w:b/>
                <w:bCs/>
                <w:color w:val="auto"/>
                <w:szCs w:val="21"/>
              </w:rPr>
            </w:pPr>
            <w:r>
              <w:rPr>
                <w:rFonts w:hint="eastAsia" w:ascii="宋体" w:hAnsi="宋体" w:cs="宋体"/>
                <w:b/>
                <w:bCs/>
                <w:color w:val="auto"/>
                <w:szCs w:val="21"/>
              </w:rPr>
              <w:t>审查资料</w:t>
            </w: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 xml:space="preserve">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ind w:right="29" w:rightChars="14"/>
              <w:rPr>
                <w:rFonts w:hint="eastAsia"/>
                <w:color w:val="auto"/>
              </w:rPr>
            </w:pPr>
            <w:r>
              <w:rPr>
                <w:rFonts w:hint="eastAsia" w:ascii="宋体" w:hAnsi="宋体" w:cs="宋体"/>
                <w:color w:val="auto"/>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投标人营业执照</w:t>
            </w:r>
            <w:r>
              <w:rPr>
                <w:rFonts w:hint="eastAsia" w:ascii="宋体" w:hAnsi="宋体"/>
                <w:color w:val="auto"/>
                <w:szCs w:val="21"/>
              </w:rPr>
              <w:t>（或三证合一的有效证件）</w:t>
            </w:r>
            <w:r>
              <w:rPr>
                <w:rFonts w:hint="eastAsia" w:ascii="宋体" w:hAnsi="宋体" w:cs="宋体"/>
                <w:color w:val="auto"/>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color w:val="auto"/>
              </w:rPr>
            </w:pPr>
            <w:r>
              <w:rPr>
                <w:rFonts w:hint="eastAsia" w:ascii="宋体" w:hAnsi="宋体" w:cs="宋体"/>
                <w:color w:val="auto"/>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和拟任项目负责人须持有社保部门出具的本单位为其缴纳的投标前近</w:t>
            </w:r>
            <w:r>
              <w:rPr>
                <w:rFonts w:hint="eastAsia" w:ascii="宋体" w:hAnsi="宋体" w:cs="宋体"/>
                <w:color w:val="auto"/>
                <w:szCs w:val="21"/>
                <w:lang w:val="en-US" w:eastAsia="zh-CN"/>
              </w:rPr>
              <w:t>六</w:t>
            </w:r>
            <w:r>
              <w:rPr>
                <w:rFonts w:hint="eastAsia" w:ascii="宋体" w:hAnsi="宋体" w:cs="宋体"/>
                <w:color w:val="auto"/>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bookmarkStart w:id="59" w:name="_Toc1191"/>
            <w:bookmarkStart w:id="60" w:name="_Toc449028880"/>
            <w:bookmarkStart w:id="61" w:name="_Toc58430320"/>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eastAsia="宋体" w:cs="宋体"/>
                <w:color w:val="auto"/>
                <w:szCs w:val="21"/>
                <w:lang w:val="en-US" w:eastAsia="zh-CN"/>
              </w:rPr>
              <w:t>项目组成员注册证书复印件加盖投标人公章和证明专业的证明材料。</w:t>
            </w:r>
          </w:p>
        </w:tc>
      </w:tr>
    </w:tbl>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1.审查资料</w:t>
      </w:r>
      <w:bookmarkEnd w:id="59"/>
    </w:p>
    <w:p>
      <w:pPr>
        <w:spacing w:line="440" w:lineRule="exact"/>
        <w:ind w:firstLine="480" w:firstLineChars="200"/>
        <w:jc w:val="left"/>
        <w:rPr>
          <w:rFonts w:hint="eastAsia" w:ascii="宋体" w:hAnsi="宋体" w:eastAsia="宋体" w:cs="宋体"/>
          <w:color w:val="auto"/>
          <w:sz w:val="24"/>
          <w:szCs w:val="24"/>
        </w:rPr>
      </w:pPr>
      <w:bookmarkStart w:id="62" w:name="_Toc506107320"/>
      <w:bookmarkStart w:id="63" w:name="_Toc15058909"/>
      <w:bookmarkStart w:id="64" w:name="_Toc324404867"/>
      <w:bookmarkStart w:id="65" w:name="_Toc37230750"/>
      <w:bookmarkStart w:id="66" w:name="_Toc17672"/>
      <w:r>
        <w:rPr>
          <w:rFonts w:hint="eastAsia" w:ascii="宋体" w:hAnsi="宋体" w:eastAsia="宋体" w:cs="宋体"/>
          <w:color w:val="auto"/>
          <w:sz w:val="24"/>
          <w:szCs w:val="24"/>
        </w:rPr>
        <w:t>（1）法定代表人身份证明文件和本人有效身份证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或法定代表人授权委托书和委托代理人有效身份证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（2）诚信投标承诺书（格式见附件）；</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（3）企业营业执照（或三证合一的有效证件）；</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（4）拟派项目负责人有效身份证及资质要求的相关证书</w:t>
      </w:r>
      <w:r>
        <w:rPr>
          <w:rFonts w:hint="eastAsia" w:ascii="宋体" w:hAnsi="宋体" w:eastAsia="宋体" w:cs="宋体"/>
          <w:color w:val="auto"/>
          <w:spacing w:val="-1"/>
          <w:sz w:val="24"/>
          <w:szCs w:val="24"/>
        </w:rPr>
        <w:t>；</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（5）投标人的法定代表人</w:t>
      </w:r>
      <w:r>
        <w:rPr>
          <w:rFonts w:hint="eastAsia" w:ascii="宋体" w:hAnsi="宋体" w:cs="宋体"/>
          <w:color w:val="auto"/>
          <w:sz w:val="24"/>
          <w:szCs w:val="24"/>
          <w:lang w:eastAsia="zh-CN"/>
        </w:rPr>
        <w:t>（</w:t>
      </w:r>
      <w:r>
        <w:rPr>
          <w:rFonts w:hint="eastAsia" w:ascii="宋体" w:hAnsi="宋体" w:eastAsia="宋体" w:cs="宋体"/>
          <w:color w:val="auto"/>
          <w:sz w:val="24"/>
          <w:szCs w:val="24"/>
        </w:rPr>
        <w:t>或委托代理人</w:t>
      </w:r>
      <w:r>
        <w:rPr>
          <w:rFonts w:hint="eastAsia" w:ascii="宋体" w:hAnsi="宋体" w:cs="宋体"/>
          <w:color w:val="auto"/>
          <w:sz w:val="24"/>
          <w:szCs w:val="24"/>
          <w:lang w:eastAsia="zh-CN"/>
        </w:rPr>
        <w:t>）</w:t>
      </w:r>
      <w:r>
        <w:rPr>
          <w:rFonts w:hint="eastAsia" w:ascii="宋体" w:hAnsi="宋体" w:eastAsia="宋体" w:cs="宋体"/>
          <w:color w:val="auto"/>
          <w:sz w:val="24"/>
          <w:szCs w:val="24"/>
        </w:rPr>
        <w:t>和拟任项目负责人须持有社保部门出具的本单位为其缴纳的投标前近</w:t>
      </w:r>
      <w:r>
        <w:rPr>
          <w:rFonts w:hint="eastAsia" w:ascii="宋体" w:hAnsi="宋体" w:eastAsia="宋体" w:cs="宋体"/>
          <w:color w:val="auto"/>
          <w:sz w:val="24"/>
          <w:szCs w:val="24"/>
          <w:lang w:eastAsia="zh-CN"/>
        </w:rPr>
        <w:t>六个月连续的养老保险证明</w:t>
      </w:r>
      <w:r>
        <w:rPr>
          <w:rFonts w:hint="eastAsia" w:ascii="宋体" w:hAnsi="宋体" w:eastAsia="宋体" w:cs="宋体"/>
          <w:color w:val="auto"/>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w:t>
      </w:r>
      <w:r>
        <w:rPr>
          <w:rFonts w:hint="eastAsia" w:ascii="宋体" w:hAnsi="宋体" w:eastAsia="宋体" w:cs="宋体"/>
          <w:color w:val="auto"/>
          <w:sz w:val="24"/>
          <w:szCs w:val="24"/>
          <w:lang w:val="en-US" w:eastAsia="zh-CN"/>
        </w:rPr>
        <w:t>项目组成员注册证书复印件加盖投标人公章和证明专业的证明材料；</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（7）业绩证明材料（如有）及投标人认为需要提供的其它证明材料。</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2.审查办法</w:t>
      </w:r>
      <w:bookmarkEnd w:id="62"/>
      <w:bookmarkEnd w:id="63"/>
      <w:bookmarkEnd w:id="64"/>
      <w:bookmarkEnd w:id="65"/>
      <w:bookmarkEnd w:id="6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1、由</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按资格审查办法前附表中资格审查必要合格条件评审表要求对投标人审查资料进行核验。投标人有下列情形之一的，其资格审查为不合格：</w:t>
      </w:r>
      <w:bookmarkStart w:id="67" w:name="_Toc15058910"/>
      <w:bookmarkStart w:id="68" w:name="_Toc324404868"/>
      <w:bookmarkStart w:id="69" w:name="_Toc37230751"/>
      <w:bookmarkStart w:id="70" w:name="_Toc506107321"/>
      <w:bookmarkStart w:id="71" w:name="_Toc7413"/>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逾期送达的或未送达指定地点的；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未按招标文件要求密封的；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无单位盖章、无法定代表人或法定代表人授权的代理人签字或盖章的；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未按规定的格式填写，内容不全或关键字迹模糊、无法辨认的；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工期或质量不符合招标文件要求的；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未按要求缴纳投标保证金的；</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授权代表未出席开标会议；</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法律、法规、规章和招标文件规定的其他否决投标情形。</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3.资格审查委员会和审查标准</w:t>
      </w:r>
      <w:bookmarkEnd w:id="67"/>
      <w:bookmarkEnd w:id="68"/>
      <w:bookmarkEnd w:id="69"/>
      <w:bookmarkEnd w:id="70"/>
      <w:bookmarkEnd w:id="71"/>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资格审查由招标单位依法组建的</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负责。审查标准见资格审查办法前附表。</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bookmarkStart w:id="72" w:name="_Toc7217"/>
      <w:bookmarkStart w:id="73" w:name="_Toc506107322"/>
      <w:bookmarkStart w:id="74" w:name="_Toc324404869"/>
      <w:bookmarkStart w:id="75" w:name="_Toc15058911"/>
      <w:bookmarkStart w:id="76" w:name="_Toc37230752"/>
      <w:r>
        <w:rPr>
          <w:rFonts w:hint="eastAsia" w:ascii="宋体" w:hAnsi="宋体" w:eastAsia="宋体" w:cs="宋体"/>
          <w:color w:val="auto"/>
          <w:sz w:val="24"/>
          <w:szCs w:val="24"/>
        </w:rPr>
        <w:t>4.审查结果</w:t>
      </w:r>
      <w:bookmarkEnd w:id="72"/>
      <w:bookmarkEnd w:id="73"/>
      <w:bookmarkEnd w:id="74"/>
      <w:bookmarkEnd w:id="75"/>
      <w:bookmarkEnd w:id="7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只有通过资格审查的投标人才能进入下一步的评审程序。</w:t>
      </w:r>
    </w:p>
    <w:p>
      <w:pPr>
        <w:spacing w:line="400" w:lineRule="exact"/>
        <w:jc w:val="center"/>
        <w:outlineLvl w:val="1"/>
        <w:rPr>
          <w:rFonts w:hint="eastAsia" w:ascii="宋体"/>
          <w:b/>
          <w:color w:val="auto"/>
          <w:sz w:val="24"/>
          <w:highlight w:val="none"/>
        </w:rPr>
      </w:pPr>
    </w:p>
    <w:p>
      <w:pPr>
        <w:spacing w:line="400" w:lineRule="exact"/>
        <w:jc w:val="center"/>
        <w:outlineLvl w:val="1"/>
        <w:rPr>
          <w:rFonts w:hint="eastAsia" w:ascii="宋体"/>
          <w:b/>
          <w:color w:val="auto"/>
          <w:sz w:val="24"/>
          <w:highlight w:val="none"/>
        </w:rPr>
      </w:pPr>
      <w:r>
        <w:rPr>
          <w:rFonts w:hint="eastAsia" w:ascii="宋体"/>
          <w:b/>
          <w:color w:val="auto"/>
          <w:sz w:val="24"/>
          <w:highlight w:val="none"/>
        </w:rPr>
        <w:t>四、比较与评价</w:t>
      </w:r>
      <w:bookmarkEnd w:id="60"/>
      <w:bookmarkEnd w:id="61"/>
    </w:p>
    <w:p>
      <w:pPr>
        <w:spacing w:line="400" w:lineRule="exact"/>
        <w:ind w:firstLine="417" w:firstLineChars="198"/>
        <w:rPr>
          <w:rFonts w:ascii="宋体"/>
          <w:b/>
          <w:color w:val="auto"/>
          <w:szCs w:val="21"/>
          <w:highlight w:val="none"/>
        </w:rPr>
      </w:pPr>
      <w:r>
        <w:rPr>
          <w:rFonts w:hint="eastAsia" w:ascii="宋体" w:hAnsi="宋体"/>
          <w:b/>
          <w:color w:val="auto"/>
          <w:szCs w:val="21"/>
          <w:highlight w:val="none"/>
        </w:rPr>
        <w:t xml:space="preserve"> 6.</w:t>
      </w:r>
      <w:bookmarkStart w:id="77" w:name="_Toc362983805"/>
      <w:r>
        <w:rPr>
          <w:rFonts w:hint="eastAsia" w:ascii="宋体" w:hAnsi="宋体"/>
          <w:b/>
          <w:color w:val="auto"/>
          <w:szCs w:val="21"/>
          <w:highlight w:val="none"/>
        </w:rPr>
        <w:t xml:space="preserve"> </w:t>
      </w:r>
      <w:r>
        <w:rPr>
          <w:rFonts w:hint="eastAsia" w:ascii="宋体"/>
          <w:b/>
          <w:color w:val="auto"/>
          <w:szCs w:val="21"/>
          <w:highlight w:val="none"/>
        </w:rPr>
        <w:t>详细评审即按招标文件中规定的评标方法和标准，</w:t>
      </w:r>
      <w:r>
        <w:rPr>
          <w:rFonts w:hint="eastAsia" w:ascii="宋体"/>
          <w:b/>
          <w:color w:val="auto"/>
          <w:szCs w:val="21"/>
          <w:highlight w:val="none"/>
          <w:lang w:eastAsia="zh-CN"/>
        </w:rPr>
        <w:t>评标小组</w:t>
      </w:r>
      <w:r>
        <w:rPr>
          <w:rFonts w:hint="eastAsia" w:ascii="宋体"/>
          <w:b/>
          <w:color w:val="auto"/>
          <w:szCs w:val="21"/>
          <w:highlight w:val="none"/>
        </w:rPr>
        <w:t>将对通过初审的投标文件，进行商务部分评估、综合比较与评价。</w:t>
      </w:r>
    </w:p>
    <w:p>
      <w:pPr>
        <w:spacing w:line="400" w:lineRule="exact"/>
        <w:ind w:firstLine="517" w:firstLineChars="245"/>
        <w:rPr>
          <w:rFonts w:hint="eastAsia" w:ascii="宋体" w:hAnsi="宋体" w:eastAsia="宋体" w:cs="Times New Roman"/>
          <w:b/>
          <w:color w:val="auto"/>
          <w:szCs w:val="21"/>
          <w:highlight w:val="none"/>
        </w:rPr>
      </w:pPr>
      <w:r>
        <w:rPr>
          <w:rFonts w:hint="eastAsia" w:ascii="宋体" w:hAnsi="宋体"/>
          <w:b/>
          <w:color w:val="auto"/>
          <w:szCs w:val="21"/>
          <w:highlight w:val="none"/>
        </w:rPr>
        <w:t>6.1</w:t>
      </w:r>
      <w:r>
        <w:rPr>
          <w:rFonts w:hint="eastAsia" w:ascii="宋体" w:hAnsi="宋体" w:eastAsia="宋体" w:cs="Times New Roman"/>
          <w:b/>
          <w:color w:val="auto"/>
          <w:szCs w:val="21"/>
          <w:highlight w:val="none"/>
        </w:rPr>
        <w:t>商务标评审细则（</w:t>
      </w:r>
      <w:r>
        <w:rPr>
          <w:rFonts w:hint="eastAsia" w:ascii="宋体" w:hAnsi="宋体" w:cs="Times New Roman"/>
          <w:b/>
          <w:color w:val="auto"/>
          <w:szCs w:val="21"/>
          <w:highlight w:val="none"/>
          <w:lang w:val="en-US" w:eastAsia="zh-CN"/>
        </w:rPr>
        <w:t>10</w:t>
      </w:r>
      <w:r>
        <w:rPr>
          <w:rFonts w:hint="eastAsia" w:ascii="宋体" w:hAnsi="宋体" w:eastAsia="宋体" w:cs="Times New Roman"/>
          <w:b/>
          <w:color w:val="auto"/>
          <w:szCs w:val="21"/>
          <w:highlight w:val="none"/>
          <w:lang w:val="en-US" w:eastAsia="zh-CN"/>
        </w:rPr>
        <w:t>0</w:t>
      </w:r>
      <w:r>
        <w:rPr>
          <w:rFonts w:hint="eastAsia" w:ascii="宋体" w:hAnsi="宋体" w:eastAsia="宋体" w:cs="Times New Roman"/>
          <w:b/>
          <w:color w:val="auto"/>
          <w:szCs w:val="21"/>
          <w:highlight w:val="none"/>
        </w:rPr>
        <w:t>分）</w:t>
      </w:r>
    </w:p>
    <w:tbl>
      <w:tblPr>
        <w:tblStyle w:val="45"/>
        <w:tblW w:w="1010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评分因素</w:t>
            </w:r>
          </w:p>
        </w:tc>
        <w:tc>
          <w:tcPr>
            <w:tcW w:w="7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13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资信部分（20分）</w:t>
            </w:r>
          </w:p>
        </w:tc>
        <w:tc>
          <w:tcPr>
            <w:tcW w:w="7958" w:type="dxa"/>
            <w:noWrap w:val="0"/>
            <w:vAlign w:val="center"/>
          </w:tcPr>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20</w:t>
            </w:r>
            <w:r>
              <w:rPr>
                <w:rFonts w:hint="eastAsia" w:cs="宋体"/>
                <w:b/>
                <w:color w:val="auto"/>
                <w:kern w:val="2"/>
                <w:sz w:val="21"/>
                <w:szCs w:val="21"/>
                <w:highlight w:val="none"/>
                <w:lang w:val="en-US" w:eastAsia="zh-CN" w:bidi="ar-SA"/>
              </w:rPr>
              <w:t>21</w:t>
            </w:r>
            <w:r>
              <w:rPr>
                <w:rFonts w:hint="eastAsia" w:ascii="Times New Roman" w:hAnsi="Times New Roman" w:eastAsia="宋体" w:cs="宋体"/>
                <w:b/>
                <w:color w:val="auto"/>
                <w:kern w:val="2"/>
                <w:sz w:val="21"/>
                <w:szCs w:val="21"/>
                <w:highlight w:val="none"/>
                <w:lang w:val="en-US" w:eastAsia="zh-CN" w:bidi="ar-SA"/>
              </w:rPr>
              <w:t>年1月</w:t>
            </w:r>
            <w:r>
              <w:rPr>
                <w:rFonts w:hint="eastAsia" w:cs="宋体"/>
                <w:b/>
                <w:color w:val="auto"/>
                <w:kern w:val="2"/>
                <w:sz w:val="21"/>
                <w:szCs w:val="21"/>
                <w:highlight w:val="none"/>
                <w:lang w:val="en-US" w:eastAsia="zh-CN" w:bidi="ar-SA"/>
              </w:rPr>
              <w:t>1</w:t>
            </w:r>
            <w:r>
              <w:rPr>
                <w:rFonts w:hint="eastAsia" w:ascii="Times New Roman" w:hAnsi="Times New Roman" w:eastAsia="宋体" w:cs="宋体"/>
                <w:b/>
                <w:color w:val="auto"/>
                <w:kern w:val="2"/>
                <w:sz w:val="21"/>
                <w:szCs w:val="21"/>
                <w:highlight w:val="none"/>
                <w:lang w:val="en-US" w:eastAsia="zh-CN" w:bidi="ar-SA"/>
              </w:rPr>
              <w:t>日以来</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以合同签订时间为准</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w:t>
            </w:r>
            <w:r>
              <w:rPr>
                <w:rFonts w:hint="eastAsia" w:cs="宋体"/>
                <w:b/>
                <w:color w:val="auto"/>
                <w:kern w:val="2"/>
                <w:sz w:val="21"/>
                <w:szCs w:val="21"/>
                <w:highlight w:val="none"/>
                <w:lang w:val="en-US" w:eastAsia="zh-CN" w:bidi="ar-SA"/>
              </w:rPr>
              <w:t>投标人</w:t>
            </w:r>
            <w:r>
              <w:rPr>
                <w:rFonts w:hint="eastAsia" w:ascii="Times New Roman" w:hAnsi="Times New Roman" w:eastAsia="宋体" w:cs="宋体"/>
                <w:b/>
                <w:color w:val="auto"/>
                <w:kern w:val="2"/>
                <w:sz w:val="21"/>
                <w:szCs w:val="21"/>
                <w:highlight w:val="none"/>
                <w:lang w:val="en-US" w:eastAsia="zh-CN" w:bidi="ar-SA"/>
              </w:rPr>
              <w:t>具有</w:t>
            </w:r>
            <w:r>
              <w:rPr>
                <w:rFonts w:hint="eastAsia" w:cs="宋体"/>
                <w:b/>
                <w:color w:val="auto"/>
                <w:kern w:val="2"/>
                <w:sz w:val="21"/>
                <w:szCs w:val="21"/>
                <w:highlight w:val="none"/>
                <w:lang w:val="en-US" w:eastAsia="zh-CN" w:bidi="ar-SA"/>
              </w:rPr>
              <w:t>单个充电桩审计项目金额不低于1000</w:t>
            </w:r>
            <w:r>
              <w:rPr>
                <w:rFonts w:hint="eastAsia" w:ascii="Times New Roman" w:hAnsi="Times New Roman" w:eastAsia="宋体" w:cs="宋体"/>
                <w:b/>
                <w:color w:val="auto"/>
                <w:kern w:val="2"/>
                <w:sz w:val="21"/>
                <w:szCs w:val="21"/>
                <w:highlight w:val="none"/>
                <w:lang w:val="en-US" w:eastAsia="zh-CN" w:bidi="ar-SA"/>
              </w:rPr>
              <w:t>万</w:t>
            </w:r>
            <w:r>
              <w:rPr>
                <w:rFonts w:hint="eastAsia" w:cs="宋体"/>
                <w:b/>
                <w:color w:val="auto"/>
                <w:kern w:val="2"/>
                <w:sz w:val="21"/>
                <w:szCs w:val="21"/>
                <w:highlight w:val="none"/>
                <w:lang w:val="en-US" w:eastAsia="zh-CN" w:bidi="ar-SA"/>
              </w:rPr>
              <w:t>元</w:t>
            </w:r>
            <w:r>
              <w:rPr>
                <w:rFonts w:hint="eastAsia" w:ascii="Times New Roman" w:hAnsi="Times New Roman" w:eastAsia="宋体" w:cs="宋体"/>
                <w:b/>
                <w:color w:val="auto"/>
                <w:kern w:val="2"/>
                <w:sz w:val="21"/>
                <w:szCs w:val="21"/>
                <w:highlight w:val="none"/>
                <w:lang w:val="en-US" w:eastAsia="zh-CN" w:bidi="ar-SA"/>
              </w:rPr>
              <w:t>的结算审核</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结算审计</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须含结算审核或结算审计内容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业绩的，每个得</w:t>
            </w:r>
            <w:r>
              <w:rPr>
                <w:rFonts w:hint="eastAsia" w:cs="宋体"/>
                <w:b/>
                <w:color w:val="auto"/>
                <w:kern w:val="2"/>
                <w:sz w:val="21"/>
                <w:szCs w:val="21"/>
                <w:highlight w:val="none"/>
                <w:lang w:val="en-US" w:eastAsia="zh-CN" w:bidi="ar-SA"/>
              </w:rPr>
              <w:t>5</w:t>
            </w:r>
            <w:r>
              <w:rPr>
                <w:rFonts w:hint="eastAsia" w:ascii="Times New Roman" w:hAnsi="Times New Roman" w:eastAsia="宋体" w:cs="宋体"/>
                <w:b/>
                <w:color w:val="auto"/>
                <w:kern w:val="2"/>
                <w:sz w:val="21"/>
                <w:szCs w:val="21"/>
                <w:highlight w:val="none"/>
                <w:lang w:val="en-US" w:eastAsia="zh-CN" w:bidi="ar-SA"/>
              </w:rPr>
              <w:t>分，满分10分。</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注</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1、以上业绩须为已履约完成业绩或正在履约业绩</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2、投标文件中须提供下列证明材料之一</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业绩合同的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lang w:val="en-US" w:eastAsia="zh-CN" w:bidi="ar-SA"/>
              </w:rPr>
              <w:t>件或影印件</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2</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框架合同及审计委托单的扫描件或影印件，审计委托单须在框架合同时间范围内。</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若以上材料不能体现合同签订时间、委托单位、项目内容等关键评审内容，须另附业主</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合同甲方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p>
        </w:tc>
        <w:tc>
          <w:tcPr>
            <w:tcW w:w="7958" w:type="dxa"/>
            <w:noWrap w:val="0"/>
            <w:vAlign w:val="center"/>
          </w:tcPr>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20</w:t>
            </w:r>
            <w:r>
              <w:rPr>
                <w:rFonts w:hint="eastAsia" w:cs="宋体"/>
                <w:b/>
                <w:color w:val="auto"/>
                <w:kern w:val="2"/>
                <w:sz w:val="21"/>
                <w:szCs w:val="21"/>
                <w:highlight w:val="none"/>
                <w:lang w:val="en-US" w:eastAsia="zh-CN" w:bidi="ar-SA"/>
              </w:rPr>
              <w:t>21</w:t>
            </w:r>
            <w:r>
              <w:rPr>
                <w:rFonts w:hint="eastAsia" w:ascii="Times New Roman" w:hAnsi="Times New Roman" w:eastAsia="宋体" w:cs="宋体"/>
                <w:b/>
                <w:color w:val="auto"/>
                <w:kern w:val="2"/>
                <w:sz w:val="21"/>
                <w:szCs w:val="21"/>
                <w:highlight w:val="none"/>
                <w:lang w:val="en-US" w:eastAsia="zh-CN" w:bidi="ar-SA"/>
              </w:rPr>
              <w:t>年1月1日以来</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以合同签订时间为准</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w:t>
            </w:r>
            <w:r>
              <w:rPr>
                <w:rFonts w:hint="eastAsia" w:cs="宋体"/>
                <w:b/>
                <w:color w:val="auto"/>
                <w:kern w:val="2"/>
                <w:sz w:val="21"/>
                <w:szCs w:val="21"/>
                <w:highlight w:val="none"/>
                <w:lang w:val="en-US" w:eastAsia="zh-CN" w:bidi="ar-SA"/>
              </w:rPr>
              <w:t>投标人</w:t>
            </w:r>
            <w:r>
              <w:rPr>
                <w:rFonts w:hint="eastAsia" w:ascii="Times New Roman" w:hAnsi="Times New Roman" w:eastAsia="宋体" w:cs="宋体"/>
                <w:b/>
                <w:color w:val="auto"/>
                <w:kern w:val="2"/>
                <w:sz w:val="21"/>
                <w:szCs w:val="21"/>
                <w:highlight w:val="none"/>
                <w:lang w:val="en-US" w:eastAsia="zh-CN" w:bidi="ar-SA"/>
              </w:rPr>
              <w:t>拟为本项目配备的项目负责人具有</w:t>
            </w:r>
            <w:r>
              <w:rPr>
                <w:rFonts w:hint="eastAsia" w:cs="宋体"/>
                <w:b/>
                <w:color w:val="auto"/>
                <w:kern w:val="2"/>
                <w:sz w:val="21"/>
                <w:szCs w:val="21"/>
                <w:highlight w:val="none"/>
                <w:lang w:val="en-US" w:eastAsia="zh-CN" w:bidi="ar-SA"/>
              </w:rPr>
              <w:t>单个充电桩审计项目金额不低于1000</w:t>
            </w:r>
            <w:r>
              <w:rPr>
                <w:rFonts w:hint="eastAsia" w:ascii="Times New Roman" w:hAnsi="Times New Roman" w:eastAsia="宋体" w:cs="宋体"/>
                <w:b/>
                <w:color w:val="auto"/>
                <w:kern w:val="2"/>
                <w:sz w:val="21"/>
                <w:szCs w:val="21"/>
                <w:highlight w:val="none"/>
                <w:lang w:val="en-US" w:eastAsia="zh-CN" w:bidi="ar-SA"/>
              </w:rPr>
              <w:t>万</w:t>
            </w:r>
            <w:r>
              <w:rPr>
                <w:rFonts w:hint="eastAsia" w:cs="宋体"/>
                <w:b/>
                <w:color w:val="auto"/>
                <w:kern w:val="2"/>
                <w:sz w:val="21"/>
                <w:szCs w:val="21"/>
                <w:highlight w:val="none"/>
                <w:lang w:val="en-US" w:eastAsia="zh-CN" w:bidi="ar-SA"/>
              </w:rPr>
              <w:t>元</w:t>
            </w:r>
            <w:r>
              <w:rPr>
                <w:rFonts w:hint="eastAsia" w:ascii="Times New Roman" w:hAnsi="Times New Roman" w:eastAsia="宋体" w:cs="宋体"/>
                <w:b/>
                <w:color w:val="auto"/>
                <w:kern w:val="2"/>
                <w:sz w:val="21"/>
                <w:szCs w:val="21"/>
                <w:highlight w:val="none"/>
                <w:lang w:val="en-US" w:eastAsia="zh-CN" w:bidi="ar-SA"/>
              </w:rPr>
              <w:t>的结算审核</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结算审计</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须含结算审核或结算审计内容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业绩的，每个</w:t>
            </w:r>
            <w:r>
              <w:rPr>
                <w:rFonts w:hint="eastAsia" w:cs="宋体"/>
                <w:b/>
                <w:color w:val="auto"/>
                <w:kern w:val="2"/>
                <w:sz w:val="21"/>
                <w:szCs w:val="21"/>
                <w:highlight w:val="none"/>
                <w:lang w:val="en-US" w:eastAsia="zh-CN" w:bidi="ar-SA"/>
              </w:rPr>
              <w:t>5</w:t>
            </w:r>
            <w:r>
              <w:rPr>
                <w:rFonts w:hint="eastAsia" w:ascii="Times New Roman" w:hAnsi="Times New Roman" w:eastAsia="宋体" w:cs="宋体"/>
                <w:b/>
                <w:color w:val="auto"/>
                <w:kern w:val="2"/>
                <w:sz w:val="21"/>
                <w:szCs w:val="21"/>
                <w:highlight w:val="none"/>
                <w:lang w:val="en-US" w:eastAsia="zh-CN" w:bidi="ar-SA"/>
              </w:rPr>
              <w:t>分，满分</w:t>
            </w:r>
            <w:r>
              <w:rPr>
                <w:rFonts w:hint="eastAsia" w:cs="宋体"/>
                <w:b/>
                <w:color w:val="auto"/>
                <w:kern w:val="2"/>
                <w:sz w:val="21"/>
                <w:szCs w:val="21"/>
                <w:highlight w:val="none"/>
                <w:lang w:val="en-US" w:eastAsia="zh-CN" w:bidi="ar-SA"/>
              </w:rPr>
              <w:t>10</w:t>
            </w:r>
            <w:r>
              <w:rPr>
                <w:rFonts w:hint="eastAsia" w:ascii="Times New Roman" w:hAnsi="Times New Roman" w:eastAsia="宋体" w:cs="宋体"/>
                <w:b/>
                <w:color w:val="auto"/>
                <w:kern w:val="2"/>
                <w:sz w:val="21"/>
                <w:szCs w:val="21"/>
                <w:highlight w:val="none"/>
                <w:lang w:val="en-US" w:eastAsia="zh-CN" w:bidi="ar-SA"/>
              </w:rPr>
              <w:t>分。</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ascii="Times New Roman" w:hAnsi="Times New Roman" w:eastAsia="宋体" w:cs="宋体"/>
                <w:b/>
                <w:color w:val="auto"/>
                <w:kern w:val="2"/>
                <w:sz w:val="21"/>
                <w:szCs w:val="21"/>
                <w:highlight w:val="none"/>
                <w:lang w:val="en-US" w:eastAsia="zh-CN" w:bidi="ar-SA"/>
              </w:rPr>
              <w:t>注</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1、以上业绩须为已履约完成业绩或正在履约业绩</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2、投标人</w:t>
            </w:r>
            <w:r>
              <w:rPr>
                <w:rFonts w:hint="eastAsia" w:ascii="Times New Roman" w:hAnsi="Times New Roman" w:eastAsia="宋体" w:cs="宋体"/>
                <w:b/>
                <w:color w:val="auto"/>
                <w:kern w:val="2"/>
                <w:sz w:val="21"/>
                <w:szCs w:val="21"/>
                <w:highlight w:val="none"/>
                <w:lang w:val="en-US" w:eastAsia="zh-CN" w:bidi="ar-SA"/>
              </w:rPr>
              <w:t>业绩与项目负责人业绩重复的业绩予以计分</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3、</w:t>
            </w:r>
            <w:r>
              <w:rPr>
                <w:rFonts w:hint="eastAsia" w:ascii="Times New Roman" w:hAnsi="Times New Roman" w:eastAsia="宋体" w:cs="宋体"/>
                <w:b/>
                <w:color w:val="auto"/>
                <w:kern w:val="2"/>
                <w:sz w:val="21"/>
                <w:szCs w:val="21"/>
                <w:highlight w:val="none"/>
                <w:lang w:val="en-US" w:eastAsia="zh-CN" w:bidi="ar-SA"/>
              </w:rPr>
              <w:t>投标文件中须提供下列证明材料之一</w:t>
            </w:r>
            <w:r>
              <w:rPr>
                <w:rFonts w:hint="eastAsia" w:cs="宋体"/>
                <w:b/>
                <w:color w:val="auto"/>
                <w:kern w:val="2"/>
                <w:sz w:val="21"/>
                <w:szCs w:val="21"/>
                <w:highlight w:val="none"/>
                <w:lang w:val="en-US" w:eastAsia="zh-CN" w:bidi="ar-SA"/>
              </w:rPr>
              <w:t>：</w:t>
            </w:r>
          </w:p>
          <w:p>
            <w:pPr>
              <w:pStyle w:val="2"/>
              <w:numPr>
                <w:ilvl w:val="0"/>
                <w:numId w:val="0"/>
              </w:numPr>
              <w:rPr>
                <w:rFonts w:hint="eastAsia" w:ascii="Times New Roman" w:hAnsi="Times New Roman" w:eastAsia="宋体" w:cs="宋体"/>
                <w:b/>
                <w:color w:val="auto"/>
                <w:kern w:val="2"/>
                <w:sz w:val="21"/>
                <w:szCs w:val="21"/>
                <w:highlight w:val="none"/>
                <w:lang w:val="en-US" w:eastAsia="zh-CN" w:bidi="ar-SA"/>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1</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业绩合同的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lang w:val="en-US" w:eastAsia="zh-CN" w:bidi="ar-SA"/>
              </w:rPr>
              <w:t>件或影印件</w:t>
            </w:r>
          </w:p>
          <w:p>
            <w:pPr>
              <w:pStyle w:val="2"/>
              <w:numPr>
                <w:ilvl w:val="0"/>
                <w:numId w:val="0"/>
              </w:numPr>
              <w:rPr>
                <w:rFonts w:hint="default"/>
                <w:lang w:val="en-US" w:eastAsia="zh-CN"/>
              </w:rPr>
            </w:pP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2</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框架合同及审计委托单的</w:t>
            </w:r>
            <w:r>
              <w:rPr>
                <w:rFonts w:hint="eastAsia" w:cs="宋体"/>
                <w:b/>
                <w:color w:val="auto"/>
                <w:kern w:val="2"/>
                <w:sz w:val="21"/>
                <w:szCs w:val="21"/>
                <w:highlight w:val="none"/>
                <w:lang w:val="en-US" w:eastAsia="zh-CN" w:bidi="ar-SA"/>
              </w:rPr>
              <w:t>扫描</w:t>
            </w:r>
            <w:r>
              <w:rPr>
                <w:rFonts w:hint="eastAsia" w:ascii="Times New Roman" w:hAnsi="Times New Roman" w:eastAsia="宋体" w:cs="宋体"/>
                <w:b/>
                <w:color w:val="auto"/>
                <w:kern w:val="2"/>
                <w:sz w:val="21"/>
                <w:szCs w:val="21"/>
                <w:highlight w:val="none"/>
                <w:shd w:val="clear" w:color="auto" w:fill="auto"/>
                <w:lang w:val="en-US" w:eastAsia="zh-CN" w:bidi="ar-SA"/>
              </w:rPr>
              <w:t>件</w:t>
            </w:r>
            <w:r>
              <w:rPr>
                <w:rFonts w:hint="eastAsia" w:ascii="Times New Roman" w:hAnsi="Times New Roman" w:eastAsia="宋体" w:cs="宋体"/>
                <w:b/>
                <w:color w:val="auto"/>
                <w:kern w:val="2"/>
                <w:sz w:val="21"/>
                <w:szCs w:val="21"/>
                <w:highlight w:val="none"/>
                <w:lang w:val="en-US" w:eastAsia="zh-CN" w:bidi="ar-SA"/>
              </w:rPr>
              <w:t>或影印件，审计委托单须在框架合同时间范围内。若以上材料不能体现合同签订时间、委托单位、项目负责人姓名等关键评审内容，须另附业主</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合同甲方</w:t>
            </w:r>
            <w:r>
              <w:rPr>
                <w:rFonts w:hint="eastAsia" w:cs="宋体"/>
                <w:b/>
                <w:color w:val="auto"/>
                <w:kern w:val="2"/>
                <w:sz w:val="21"/>
                <w:szCs w:val="21"/>
                <w:highlight w:val="none"/>
                <w:lang w:val="en-US" w:eastAsia="zh-CN" w:bidi="ar-SA"/>
              </w:rPr>
              <w:t>）</w:t>
            </w:r>
            <w:r>
              <w:rPr>
                <w:rFonts w:hint="eastAsia" w:ascii="Times New Roman" w:hAnsi="Times New Roman" w:eastAsia="宋体" w:cs="宋体"/>
                <w:b/>
                <w:color w:val="auto"/>
                <w:kern w:val="2"/>
                <w:sz w:val="21"/>
                <w:szCs w:val="21"/>
                <w:highlight w:val="none"/>
                <w:lang w:val="en-US" w:eastAsia="zh-CN" w:bidi="ar-SA"/>
              </w:rPr>
              <w:t>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80</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lang w:eastAsia="zh-CN"/>
              </w:rPr>
              <w:t>）</w:t>
            </w:r>
          </w:p>
        </w:tc>
        <w:tc>
          <w:tcPr>
            <w:tcW w:w="7958" w:type="dxa"/>
            <w:noWrap w:val="0"/>
            <w:vAlign w:val="center"/>
          </w:tcPr>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1、招标人设置投标报价最高限价，各投标人有效报价不得高于最高限价，否则，其投标文件按无效标处理。基本费率最高限价：</w:t>
            </w:r>
            <w:r>
              <w:rPr>
                <w:rFonts w:hint="eastAsia" w:ascii="Times New Roman" w:hAnsi="Times New Roman" w:eastAsia="宋体" w:cs="宋体"/>
                <w:b/>
                <w:color w:val="auto"/>
                <w:highlight w:val="none"/>
                <w:lang w:val="en-US" w:eastAsia="zh-CN"/>
              </w:rPr>
              <w:t>2</w:t>
            </w:r>
            <w:r>
              <w:rPr>
                <w:rFonts w:hint="eastAsia" w:ascii="Times New Roman" w:hAnsi="Times New Roman" w:eastAsia="宋体" w:cs="宋体"/>
                <w:b/>
                <w:color w:val="auto"/>
                <w:highlight w:val="none"/>
              </w:rPr>
              <w:t>‰（注：报价时只需报基本费率，保留两位小数）；</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2、评标基准值为B，B值为经评审合格的有效投标人的投标报价（基本费率）的算术平均值。评标基准值的计算结果以</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分数形式，</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分数小数点后保留两位小数。（例如0.74‰或0.79‰）</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3、各有效投标人的投标报价（费率）与评标基准值B相比，相同的得</w:t>
            </w:r>
            <w:r>
              <w:rPr>
                <w:rFonts w:hint="eastAsia" w:cs="宋体"/>
                <w:b/>
                <w:color w:val="auto"/>
                <w:highlight w:val="none"/>
                <w:lang w:val="en-US" w:eastAsia="zh-CN"/>
              </w:rPr>
              <w:t>80</w:t>
            </w:r>
            <w:r>
              <w:rPr>
                <w:rFonts w:hint="eastAsia" w:ascii="Times New Roman" w:hAnsi="Times New Roman" w:eastAsia="宋体" w:cs="宋体"/>
                <w:b/>
                <w:color w:val="auto"/>
                <w:highlight w:val="none"/>
              </w:rPr>
              <w:t>分，每增加1%扣</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分，每减少1%扣0.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分；不足1%时按插入法计算，百分数取两位小数，小数点后第三位四舍五入。</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4、本项分值由招标</w:t>
            </w:r>
            <w:r>
              <w:rPr>
                <w:rFonts w:hint="eastAsia" w:cs="宋体"/>
                <w:b/>
                <w:color w:val="auto"/>
                <w:highlight w:val="none"/>
                <w:lang w:val="en-US" w:eastAsia="zh-CN"/>
              </w:rPr>
              <w:t>人</w:t>
            </w:r>
            <w:r>
              <w:rPr>
                <w:rFonts w:hint="eastAsia" w:ascii="Times New Roman" w:hAnsi="Times New Roman" w:eastAsia="宋体" w:cs="宋体"/>
                <w:b/>
                <w:color w:val="auto"/>
                <w:highlight w:val="none"/>
              </w:rPr>
              <w:t>负责组织计算，报</w:t>
            </w:r>
            <w:r>
              <w:rPr>
                <w:rFonts w:hint="eastAsia" w:cs="宋体"/>
                <w:b/>
                <w:color w:val="auto"/>
                <w:highlight w:val="none"/>
                <w:lang w:eastAsia="zh-CN"/>
              </w:rPr>
              <w:t>评标小组</w:t>
            </w:r>
            <w:r>
              <w:rPr>
                <w:rFonts w:hint="eastAsia" w:ascii="Times New Roman" w:hAnsi="Times New Roman" w:eastAsia="宋体" w:cs="宋体"/>
                <w:b/>
                <w:color w:val="auto"/>
                <w:highlight w:val="none"/>
              </w:rPr>
              <w:t>进行审核。</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例如：评标基准值B为0.65‰，投标人甲的报价为0.70‰、投标人乙的报价为0.62‰，计算各投标人得分（保留两位小数）如下：</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计算投标人甲投标报价与评标基准值的百分比为：【（0.70‰-0.65‰）÷0.65‰】×100=7.69%，其得分=</w:t>
            </w:r>
            <w:r>
              <w:rPr>
                <w:rFonts w:hint="eastAsia" w:cs="宋体"/>
                <w:b/>
                <w:color w:val="auto"/>
                <w:highlight w:val="none"/>
                <w:lang w:val="en-US" w:eastAsia="zh-CN"/>
              </w:rPr>
              <w:t>80</w:t>
            </w:r>
            <w:r>
              <w:rPr>
                <w:rFonts w:hint="eastAsia" w:ascii="Times New Roman" w:hAnsi="Times New Roman" w:eastAsia="宋体" w:cs="宋体"/>
                <w:b/>
                <w:color w:val="auto"/>
                <w:highlight w:val="none"/>
              </w:rPr>
              <w:t>-7.69*</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w:t>
            </w:r>
            <w:r>
              <w:rPr>
                <w:rFonts w:hint="eastAsia" w:cs="宋体"/>
                <w:b/>
                <w:color w:val="auto"/>
                <w:highlight w:val="none"/>
                <w:lang w:val="en-US" w:eastAsia="zh-CN"/>
              </w:rPr>
              <w:t>7</w:t>
            </w:r>
            <w:r>
              <w:rPr>
                <w:rFonts w:hint="eastAsia" w:ascii="Times New Roman" w:hAnsi="Times New Roman" w:eastAsia="宋体" w:cs="宋体"/>
                <w:b/>
                <w:color w:val="auto"/>
                <w:highlight w:val="none"/>
                <w:lang w:val="en-US" w:eastAsia="zh-CN"/>
              </w:rPr>
              <w:t>2.31</w:t>
            </w:r>
            <w:r>
              <w:rPr>
                <w:rFonts w:hint="eastAsia" w:ascii="Times New Roman" w:hAnsi="Times New Roman" w:eastAsia="宋体" w:cs="宋体"/>
                <w:b/>
                <w:color w:val="auto"/>
                <w:highlight w:val="none"/>
              </w:rPr>
              <w:t>分；</w:t>
            </w:r>
          </w:p>
          <w:p>
            <w:pPr>
              <w:wordWrap w:val="0"/>
              <w:spacing w:line="400" w:lineRule="exact"/>
              <w:rPr>
                <w:rFonts w:hint="eastAsia" w:ascii="宋体" w:hAnsi="宋体" w:eastAsia="宋体" w:cs="宋体"/>
                <w:color w:val="auto"/>
                <w:sz w:val="21"/>
                <w:szCs w:val="21"/>
                <w:highlight w:val="none"/>
              </w:rPr>
            </w:pPr>
            <w:r>
              <w:rPr>
                <w:rFonts w:hint="eastAsia" w:ascii="Times New Roman" w:hAnsi="Times New Roman" w:eastAsia="宋体" w:cs="宋体"/>
                <w:b/>
                <w:color w:val="auto"/>
                <w:highlight w:val="none"/>
              </w:rPr>
              <w:t>计算投标人乙投标报价与评标基准值的百分比为：【（0.62‰-0.65‰）÷0.65‰】×100=-4.62%，其得分=</w:t>
            </w:r>
            <w:r>
              <w:rPr>
                <w:rFonts w:hint="eastAsia" w:cs="宋体"/>
                <w:b/>
                <w:color w:val="auto"/>
                <w:highlight w:val="none"/>
                <w:lang w:val="en-US" w:eastAsia="zh-CN"/>
              </w:rPr>
              <w:t>80</w:t>
            </w:r>
            <w:r>
              <w:rPr>
                <w:rFonts w:hint="eastAsia" w:ascii="Times New Roman" w:hAnsi="Times New Roman" w:eastAsia="宋体" w:cs="宋体"/>
                <w:b/>
                <w:color w:val="auto"/>
                <w:highlight w:val="none"/>
              </w:rPr>
              <w:t>-4.62*0.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w:t>
            </w:r>
            <w:r>
              <w:rPr>
                <w:rFonts w:hint="eastAsia" w:cs="宋体"/>
                <w:b/>
                <w:color w:val="auto"/>
                <w:highlight w:val="none"/>
                <w:lang w:val="en-US" w:eastAsia="zh-CN"/>
              </w:rPr>
              <w:t>7</w:t>
            </w:r>
            <w:r>
              <w:rPr>
                <w:rFonts w:hint="eastAsia" w:ascii="Times New Roman" w:hAnsi="Times New Roman" w:eastAsia="宋体" w:cs="宋体"/>
                <w:b/>
                <w:color w:val="auto"/>
                <w:highlight w:val="none"/>
                <w:lang w:val="en-US" w:eastAsia="zh-CN"/>
              </w:rPr>
              <w:t>7.69</w:t>
            </w:r>
            <w:r>
              <w:rPr>
                <w:rFonts w:hint="eastAsia" w:ascii="Times New Roman" w:hAnsi="Times New Roman" w:eastAsia="宋体" w:cs="宋体"/>
                <w:b/>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103" w:type="dxa"/>
            <w:gridSpan w:val="3"/>
            <w:noWrap w:val="0"/>
            <w:vAlign w:val="center"/>
          </w:tcPr>
          <w:p>
            <w:pPr>
              <w:spacing w:line="440" w:lineRule="exact"/>
              <w:rPr>
                <w:rFonts w:hint="eastAsia" w:ascii="宋体" w:hAnsi="宋体" w:eastAsia="宋体" w:cs="宋体"/>
                <w:color w:val="auto"/>
                <w:sz w:val="21"/>
                <w:szCs w:val="21"/>
                <w:highlight w:val="none"/>
              </w:rPr>
            </w:pPr>
            <w:r>
              <w:rPr>
                <w:rFonts w:hint="eastAsia" w:ascii="宋体" w:cs="宋体"/>
                <w:b/>
                <w:color w:val="auto"/>
                <w:sz w:val="24"/>
                <w:szCs w:val="24"/>
                <w:highlight w:val="none"/>
                <w:lang w:val="en-US" w:eastAsia="zh-CN"/>
              </w:rPr>
              <w:t>注：①投标单位所报基本费为</w:t>
            </w:r>
            <w:r>
              <w:rPr>
                <w:rFonts w:hint="eastAsia"/>
                <w:b/>
                <w:bCs/>
                <w:color w:val="auto"/>
                <w:sz w:val="24"/>
                <w:szCs w:val="32"/>
                <w:highlight w:val="none"/>
              </w:rPr>
              <w:t>0或负数的</w:t>
            </w:r>
            <w:r>
              <w:rPr>
                <w:rFonts w:hint="eastAsia"/>
                <w:b/>
                <w:bCs/>
                <w:color w:val="auto"/>
                <w:sz w:val="24"/>
                <w:szCs w:val="32"/>
                <w:highlight w:val="none"/>
                <w:lang w:eastAsia="zh-CN"/>
              </w:rPr>
              <w:t>，</w:t>
            </w:r>
            <w:r>
              <w:rPr>
                <w:rFonts w:hint="eastAsia"/>
                <w:b/>
                <w:bCs/>
                <w:color w:val="auto"/>
                <w:sz w:val="24"/>
                <w:szCs w:val="32"/>
                <w:highlight w:val="none"/>
                <w:lang w:val="en-US" w:eastAsia="zh-CN"/>
              </w:rPr>
              <w:t>其商务标不得分，且该报价所对应的审计费不得作为评标基准价。②若同一业绩既是投标人业绩，也是项目负责人业绩的，可重复计算得分。</w:t>
            </w:r>
            <w:bookmarkStart w:id="98" w:name="_GoBack"/>
            <w:bookmarkEnd w:id="98"/>
          </w:p>
        </w:tc>
      </w:tr>
      <w:bookmarkEnd w:id="54"/>
      <w:bookmarkEnd w:id="77"/>
    </w:tbl>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8" w:name="_Toc95223429"/>
      <w:r>
        <w:rPr>
          <w:rFonts w:hint="eastAsia" w:ascii="黑体" w:hAnsi="黑体" w:cs="黑体"/>
          <w:color w:val="auto"/>
          <w:sz w:val="21"/>
          <w:szCs w:val="21"/>
        </w:rPr>
        <w:t>1. 评标方法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本次评标采用综合评估法。评标</w:t>
      </w:r>
      <w:r>
        <w:rPr>
          <w:rFonts w:hint="eastAsia" w:ascii="宋体" w:hAnsi="宋体" w:cs="宋体"/>
          <w:color w:val="auto"/>
          <w:szCs w:val="21"/>
          <w:lang w:val="en-US" w:eastAsia="zh-CN"/>
        </w:rPr>
        <w:t>小组</w:t>
      </w:r>
      <w:r>
        <w:rPr>
          <w:rFonts w:hint="eastAsia" w:ascii="宋体" w:hAnsi="宋体" w:cs="宋体"/>
          <w:color w:val="auto"/>
          <w:szCs w:val="21"/>
        </w:rPr>
        <w:t>对满足招标文件实质性要求的投标文件，按照本章规定的评分标准进行打分，并按总得分由高到低顺序推荐中标候选人应当不超过2名，并标明排序，但投标报价低于其成本的除外。如总得分相等，以投标报价低的优先，投标报价仍相等，由</w:t>
      </w:r>
      <w:r>
        <w:rPr>
          <w:rFonts w:hint="eastAsia" w:ascii="宋体" w:hAnsi="宋体" w:cs="宋体"/>
          <w:color w:val="auto"/>
          <w:szCs w:val="21"/>
          <w:lang w:eastAsia="zh-CN"/>
        </w:rPr>
        <w:t>评标小组</w:t>
      </w:r>
      <w:r>
        <w:rPr>
          <w:rFonts w:hint="eastAsia" w:ascii="宋体" w:hAnsi="宋体" w:cs="宋体"/>
          <w:color w:val="auto"/>
          <w:szCs w:val="21"/>
        </w:rPr>
        <w:t>主任委员或招标人随机抽取确定排名。</w:t>
      </w:r>
    </w:p>
    <w:bookmarkEnd w:id="78"/>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79" w:name="_Toc95223430"/>
      <w:r>
        <w:rPr>
          <w:rFonts w:hint="eastAsia" w:ascii="黑体" w:hAnsi="黑体" w:cs="黑体"/>
          <w:color w:val="auto"/>
          <w:sz w:val="21"/>
          <w:szCs w:val="21"/>
        </w:rPr>
        <w:t>2.评标</w:t>
      </w:r>
      <w:r>
        <w:rPr>
          <w:rFonts w:hint="eastAsia" w:ascii="黑体" w:hAnsi="黑体" w:cs="黑体"/>
          <w:color w:val="auto"/>
          <w:sz w:val="21"/>
          <w:szCs w:val="21"/>
          <w:lang w:val="en-US" w:eastAsia="zh-CN"/>
        </w:rPr>
        <w:t>小组</w:t>
      </w:r>
      <w:r>
        <w:rPr>
          <w:rFonts w:hint="eastAsia" w:ascii="黑体" w:hAnsi="黑体" w:cs="黑体"/>
          <w:color w:val="auto"/>
          <w:sz w:val="21"/>
          <w:szCs w:val="21"/>
        </w:rPr>
        <w:t>的职责</w:t>
      </w:r>
      <w:bookmarkEnd w:id="7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当根据本评标办法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w:t>
      </w:r>
      <w:r>
        <w:rPr>
          <w:rFonts w:hint="eastAsia" w:ascii="宋体" w:hAnsi="宋体" w:cs="宋体"/>
          <w:color w:val="auto"/>
          <w:szCs w:val="21"/>
          <w:lang w:val="en-US" w:eastAsia="zh-CN"/>
        </w:rPr>
        <w:t>小组</w:t>
      </w:r>
      <w:r>
        <w:rPr>
          <w:rFonts w:hint="eastAsia" w:ascii="宋体" w:hAnsi="宋体" w:cs="宋体"/>
          <w:color w:val="auto"/>
          <w:szCs w:val="21"/>
        </w:rPr>
        <w:t>成员可以书面方式阐述其不同意见和理由。评标</w:t>
      </w:r>
      <w:r>
        <w:rPr>
          <w:rFonts w:hint="eastAsia" w:ascii="宋体" w:hAnsi="宋体" w:cs="宋体"/>
          <w:color w:val="auto"/>
          <w:szCs w:val="21"/>
          <w:lang w:val="en-US" w:eastAsia="zh-CN"/>
        </w:rPr>
        <w:t>小组</w:t>
      </w:r>
      <w:r>
        <w:rPr>
          <w:rFonts w:hint="eastAsia" w:ascii="宋体" w:hAnsi="宋体" w:cs="宋体"/>
          <w:color w:val="auto"/>
          <w:szCs w:val="21"/>
        </w:rPr>
        <w:t>成员拒绝在评标报告上签字且不陈述其不同意见和理由的，视为同意评标结论。评标</w:t>
      </w:r>
      <w:r>
        <w:rPr>
          <w:rFonts w:hint="eastAsia" w:ascii="宋体" w:hAnsi="宋体" w:cs="宋体"/>
          <w:color w:val="auto"/>
          <w:szCs w:val="21"/>
          <w:lang w:val="en-US" w:eastAsia="zh-CN"/>
        </w:rPr>
        <w:t>小组</w:t>
      </w:r>
      <w:r>
        <w:rPr>
          <w:rFonts w:hint="eastAsia" w:ascii="宋体" w:hAnsi="宋体" w:cs="宋体"/>
          <w:color w:val="auto"/>
          <w:szCs w:val="21"/>
        </w:rPr>
        <w:t>应当对此作出书面说明并记录在案。</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应加强对报价合理性审查。</w:t>
      </w:r>
      <w:bookmarkStart w:id="80" w:name="_Toc95223431"/>
      <w:r>
        <w:rPr>
          <w:rFonts w:hint="eastAsia" w:ascii="宋体" w:hAnsi="宋体" w:cs="宋体"/>
          <w:color w:val="auto"/>
          <w:szCs w:val="21"/>
        </w:rPr>
        <w:t>评标评审</w:t>
      </w:r>
      <w:r>
        <w:rPr>
          <w:rFonts w:hint="eastAsia" w:ascii="宋体" w:hAnsi="宋体" w:cs="宋体"/>
          <w:color w:val="auto"/>
          <w:szCs w:val="21"/>
          <w:lang w:val="en-US" w:eastAsia="zh-CN"/>
        </w:rPr>
        <w:t>小组</w:t>
      </w:r>
      <w:r>
        <w:rPr>
          <w:rFonts w:hint="eastAsia" w:ascii="宋体" w:hAnsi="宋体" w:cs="宋体"/>
          <w:color w:val="auto"/>
          <w:szCs w:val="21"/>
        </w:rPr>
        <w:t>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w:t>
      </w:r>
      <w:r>
        <w:rPr>
          <w:rFonts w:hint="eastAsia" w:ascii="宋体" w:hAnsi="宋体" w:cs="宋体"/>
          <w:color w:val="auto"/>
          <w:szCs w:val="21"/>
          <w:lang w:val="en-US" w:eastAsia="zh-CN"/>
        </w:rPr>
        <w:t>小组</w:t>
      </w:r>
      <w:r>
        <w:rPr>
          <w:rFonts w:hint="eastAsia" w:ascii="宋体" w:hAnsi="宋体" w:cs="宋体"/>
          <w:color w:val="auto"/>
          <w:szCs w:val="21"/>
        </w:rPr>
        <w:t>认定其存在履约及质量安全风险的，评标评审</w:t>
      </w:r>
      <w:r>
        <w:rPr>
          <w:rFonts w:hint="eastAsia" w:ascii="宋体" w:hAnsi="宋体" w:cs="宋体"/>
          <w:color w:val="auto"/>
          <w:szCs w:val="21"/>
          <w:lang w:val="en-US" w:eastAsia="zh-CN"/>
        </w:rPr>
        <w:t>小组</w:t>
      </w:r>
      <w:r>
        <w:rPr>
          <w:rFonts w:hint="eastAsia" w:ascii="宋体" w:hAnsi="宋体" w:cs="宋体"/>
          <w:color w:val="auto"/>
          <w:szCs w:val="21"/>
        </w:rPr>
        <w:t>应当将其作为无效投标处理。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3.评标程序</w:t>
      </w:r>
      <w:bookmarkEnd w:id="8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评标先做准备工作，再进行资格、技术标评审，然后进行商务标评审。</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1" w:name="_Toc95223432"/>
      <w:r>
        <w:rPr>
          <w:rFonts w:hint="eastAsia" w:ascii="黑体" w:hAnsi="黑体" w:cs="黑体"/>
          <w:color w:val="auto"/>
          <w:sz w:val="21"/>
          <w:szCs w:val="21"/>
        </w:rPr>
        <w:t>3.1评标准备工作</w:t>
      </w:r>
      <w:bookmarkEnd w:id="8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熟悉评标工作情况：</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（1）阅读由招标人编制的招标项目情况材料。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（3）熟悉招标文件规定的评标标准和评标方法及在评标过程中需要考虑的相关因素。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（4）核对评标工作用表。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2" w:name="_Toc95223433"/>
      <w:r>
        <w:rPr>
          <w:rFonts w:hint="eastAsia" w:ascii="黑体" w:hAnsi="黑体" w:cs="黑体"/>
          <w:color w:val="auto"/>
          <w:sz w:val="21"/>
          <w:szCs w:val="21"/>
        </w:rPr>
        <w:t>3.2技术标评审</w:t>
      </w:r>
      <w:bookmarkEnd w:id="82"/>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详见技术标评审表。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3" w:name="_Toc95223434"/>
      <w:r>
        <w:rPr>
          <w:rFonts w:hint="eastAsia" w:ascii="黑体" w:hAnsi="黑体" w:cs="黑体"/>
          <w:color w:val="auto"/>
          <w:sz w:val="21"/>
          <w:szCs w:val="21"/>
        </w:rPr>
        <w:t>3.3商务标评审</w:t>
      </w:r>
      <w:bookmarkEnd w:id="83"/>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详见商务标评审表。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3.4推荐中标候选人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资信评审商务标评审后，推荐中标候选人，并标明排序。</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4" w:name="_Toc95223435"/>
      <w:r>
        <w:rPr>
          <w:rFonts w:hint="eastAsia" w:ascii="黑体" w:hAnsi="黑体" w:cs="黑体"/>
          <w:color w:val="auto"/>
          <w:sz w:val="21"/>
          <w:szCs w:val="21"/>
        </w:rPr>
        <w:t>4.评审内容</w:t>
      </w:r>
      <w:bookmarkEnd w:id="84"/>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5" w:name="_Toc95223436"/>
      <w:r>
        <w:rPr>
          <w:rFonts w:hint="eastAsia" w:ascii="黑体" w:hAnsi="黑体" w:cs="黑体"/>
          <w:color w:val="auto"/>
          <w:sz w:val="21"/>
          <w:szCs w:val="21"/>
        </w:rPr>
        <w:t>4.1技术标评审</w:t>
      </w:r>
      <w:bookmarkEnd w:id="85"/>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对投标人的技术标进行符合性评审，评审结论采用合格制。对否定的技术标，评标</w:t>
      </w:r>
      <w:r>
        <w:rPr>
          <w:rFonts w:hint="eastAsia" w:ascii="宋体" w:hAnsi="宋体" w:cs="宋体"/>
          <w:color w:val="auto"/>
          <w:szCs w:val="21"/>
          <w:lang w:val="en-US" w:eastAsia="zh-CN"/>
        </w:rPr>
        <w:t>小组</w:t>
      </w:r>
      <w:r>
        <w:rPr>
          <w:rFonts w:hint="eastAsia" w:ascii="宋体" w:hAnsi="宋体" w:cs="宋体"/>
          <w:color w:val="auto"/>
          <w:szCs w:val="21"/>
        </w:rPr>
        <w:t>要提出充足的否定理由，并填写在技术标评标记录上。</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6" w:name="_Toc95223437"/>
      <w:r>
        <w:rPr>
          <w:rFonts w:hint="eastAsia" w:ascii="黑体" w:hAnsi="黑体" w:cs="黑体"/>
          <w:color w:val="auto"/>
          <w:sz w:val="21"/>
          <w:szCs w:val="21"/>
        </w:rPr>
        <w:t>4.2商务标评审</w:t>
      </w:r>
      <w:bookmarkEnd w:id="86"/>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只有通过技术标评审的投标才能够进入本阶段评审。</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w:t>
      </w:r>
      <w:r>
        <w:rPr>
          <w:rFonts w:hint="eastAsia" w:ascii="宋体" w:hAnsi="宋体" w:cs="宋体"/>
          <w:color w:val="auto"/>
          <w:szCs w:val="21"/>
          <w:lang w:val="en-US" w:eastAsia="zh-CN"/>
        </w:rPr>
        <w:t>小组</w:t>
      </w:r>
      <w:r>
        <w:rPr>
          <w:rFonts w:hint="eastAsia" w:ascii="宋体" w:hAnsi="宋体" w:cs="宋体"/>
          <w:color w:val="auto"/>
          <w:szCs w:val="21"/>
        </w:rPr>
        <w:t>依据上述标准对投标文件进行初步评审。有一项不符合评审标准的，作无效投标处理。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7" w:name="_Toc95223438"/>
      <w:r>
        <w:rPr>
          <w:rFonts w:hint="eastAsia" w:ascii="黑体" w:hAnsi="黑体" w:cs="黑体"/>
          <w:color w:val="auto"/>
          <w:sz w:val="21"/>
          <w:szCs w:val="21"/>
        </w:rPr>
        <w:t>5.无效投标条款</w:t>
      </w:r>
      <w:bookmarkEnd w:id="87"/>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5.1投标人存在下列情形</w:t>
      </w:r>
      <w:r>
        <w:rPr>
          <w:rFonts w:hint="eastAsia" w:ascii="宋体" w:hAnsi="宋体" w:cs="宋体"/>
          <w:color w:val="auto"/>
          <w:szCs w:val="21"/>
          <w:lang w:val="en-US" w:eastAsia="zh-CN"/>
        </w:rPr>
        <w:t>的</w:t>
      </w:r>
      <w:r>
        <w:rPr>
          <w:rFonts w:hint="eastAsia" w:ascii="宋体" w:hAnsi="宋体" w:cs="宋体"/>
          <w:color w:val="auto"/>
          <w:szCs w:val="21"/>
        </w:rPr>
        <w:t>招标人将拒收投标文件：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 未在投标截止时间前递交有效投标文件的，投标将被拒绝；</w:t>
      </w:r>
    </w:p>
    <w:p>
      <w:pPr>
        <w:spacing w:line="340" w:lineRule="exact"/>
        <w:ind w:firstLine="420" w:firstLineChars="200"/>
        <w:rPr>
          <w:rFonts w:ascii="宋体" w:hAnsi="宋体" w:cs="宋体"/>
          <w:color w:val="auto"/>
          <w:szCs w:val="21"/>
        </w:rPr>
      </w:pPr>
      <w:r>
        <w:rPr>
          <w:rFonts w:hint="eastAsia" w:ascii="宋体" w:hAnsi="宋体" w:cs="宋体"/>
          <w:color w:val="auto"/>
          <w:szCs w:val="21"/>
        </w:rPr>
        <w:t>（2）未按招标文件要求密封标书的。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5.2投标人有下列情形的，经评审后其投标作无效投标处理：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（1）投标人有串通投标、视为串通投标、弄虚作假、行贿等违法行为。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（2）投标文件没有对招标文件的实质性要求和条件作出响应。</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（3）实质性内容不全或关键字迹模糊、无法辨认的，经评委会一致认定的。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（4）未按规定的格式填写，经评委会一致认定的。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（6）投标文件中存在招标人不能接受的其他实质性条件。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（8）投标人拒不按照要求对投标文件进行澄清、说明、补正的，或</w:t>
      </w:r>
      <w:r>
        <w:rPr>
          <w:rFonts w:hint="eastAsia" w:ascii="宋体" w:hAnsi="宋体" w:cs="宋体"/>
          <w:color w:val="auto"/>
          <w:szCs w:val="21"/>
          <w:lang w:eastAsia="zh-CN"/>
        </w:rPr>
        <w:t>评标小组</w:t>
      </w:r>
      <w:r>
        <w:rPr>
          <w:rFonts w:hint="eastAsia" w:ascii="宋体" w:hAnsi="宋体" w:cs="宋体"/>
          <w:color w:val="auto"/>
          <w:szCs w:val="21"/>
        </w:rPr>
        <w:t>根据招标文件的规定对招标文件的计算错误进行修正后，投标人不接受修正的投标报价的。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（9）投标人单方面出现其他投标人材料。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（10）法律、法规规定的其他情形。</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8" w:name="_Toc95223439"/>
      <w:r>
        <w:rPr>
          <w:rFonts w:hint="eastAsia" w:ascii="黑体" w:hAnsi="黑体" w:cs="黑体"/>
          <w:color w:val="auto"/>
          <w:sz w:val="21"/>
          <w:szCs w:val="21"/>
        </w:rPr>
        <w:t>6.投标文件的澄清和补正</w:t>
      </w:r>
      <w:bookmarkEnd w:id="88"/>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6.1在评标过程中，评标</w:t>
      </w:r>
      <w:r>
        <w:rPr>
          <w:rFonts w:hint="eastAsia" w:ascii="宋体" w:hAnsi="宋体" w:cs="宋体"/>
          <w:color w:val="auto"/>
          <w:szCs w:val="21"/>
          <w:lang w:val="en-US" w:eastAsia="zh-CN"/>
        </w:rPr>
        <w:t>小组</w:t>
      </w:r>
      <w:r>
        <w:rPr>
          <w:rFonts w:hint="eastAsia" w:ascii="宋体" w:hAnsi="宋体" w:cs="宋体"/>
          <w:color w:val="auto"/>
          <w:szCs w:val="21"/>
        </w:rPr>
        <w:t>可以书面形式要求投标人对所提交的投标文件中含义不明确、对同类问题表述不一致或者有明显文字和计算错误，其他评标办法请一并修改的内容进行书面澄清或说明，或者对细微偏差进行补正。评标</w:t>
      </w:r>
      <w:r>
        <w:rPr>
          <w:rFonts w:hint="eastAsia" w:ascii="宋体" w:hAnsi="宋体" w:cs="宋体"/>
          <w:color w:val="auto"/>
          <w:szCs w:val="21"/>
          <w:lang w:val="en-US" w:eastAsia="zh-CN"/>
        </w:rPr>
        <w:t>小组</w:t>
      </w:r>
      <w:r>
        <w:rPr>
          <w:rFonts w:hint="eastAsia" w:ascii="宋体" w:hAnsi="宋体" w:cs="宋体"/>
          <w:color w:val="auto"/>
          <w:szCs w:val="21"/>
        </w:rPr>
        <w:t>不接受投标人主动提出的澄清、说明或补正。</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6.3评标</w:t>
      </w:r>
      <w:r>
        <w:rPr>
          <w:rFonts w:hint="eastAsia" w:ascii="宋体" w:hAnsi="宋体" w:cs="宋体"/>
          <w:color w:val="auto"/>
          <w:szCs w:val="21"/>
          <w:lang w:val="en-US" w:eastAsia="zh-CN"/>
        </w:rPr>
        <w:t>小组</w:t>
      </w:r>
      <w:r>
        <w:rPr>
          <w:rFonts w:hint="eastAsia" w:ascii="宋体" w:hAnsi="宋体" w:cs="宋体"/>
          <w:color w:val="auto"/>
          <w:szCs w:val="21"/>
        </w:rPr>
        <w:t>对投标人提交的澄清、说明和补正有疑问的，可以要求投标人进一步澄清、说明或补正、直至满足</w:t>
      </w:r>
      <w:r>
        <w:rPr>
          <w:rFonts w:hint="eastAsia" w:ascii="宋体" w:hAnsi="宋体" w:cs="宋体"/>
          <w:color w:val="auto"/>
          <w:szCs w:val="21"/>
          <w:lang w:eastAsia="zh-CN"/>
        </w:rPr>
        <w:t>评标小组</w:t>
      </w:r>
      <w:r>
        <w:rPr>
          <w:rFonts w:hint="eastAsia" w:ascii="宋体" w:hAnsi="宋体" w:cs="宋体"/>
          <w:color w:val="auto"/>
          <w:szCs w:val="21"/>
        </w:rPr>
        <w:t>的要求。</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按照投标文件规定进行澄清、补正后的投标报价经投标人的法定代表人或其委托代理人确认后即为该投标人的最终投标报价。投标人一旦中标，此报价即为中标价。</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9" w:name="_Toc95223440"/>
      <w:r>
        <w:rPr>
          <w:rFonts w:hint="eastAsia" w:ascii="黑体" w:hAnsi="黑体" w:cs="黑体"/>
          <w:color w:val="auto"/>
          <w:sz w:val="21"/>
          <w:szCs w:val="21"/>
        </w:rPr>
        <w:t>7.评分标准</w:t>
      </w:r>
      <w:bookmarkEnd w:id="8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7.1评分标准：见资信、技术及商务评分表。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0" w:name="_Toc95223441"/>
      <w:r>
        <w:rPr>
          <w:rFonts w:hint="eastAsia" w:ascii="黑体" w:hAnsi="黑体" w:cs="黑体"/>
          <w:color w:val="auto"/>
          <w:sz w:val="21"/>
          <w:szCs w:val="21"/>
        </w:rPr>
        <w:t>8.评审结果</w:t>
      </w:r>
      <w:bookmarkEnd w:id="9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8.1除“投标人须知”及其前附表授权直接确定中标人外，评标</w:t>
      </w:r>
      <w:r>
        <w:rPr>
          <w:rFonts w:hint="eastAsia" w:ascii="宋体" w:hAnsi="宋体" w:cs="宋体"/>
          <w:color w:val="auto"/>
          <w:szCs w:val="21"/>
          <w:lang w:val="en-US" w:eastAsia="zh-CN"/>
        </w:rPr>
        <w:t>小组</w:t>
      </w:r>
      <w:r>
        <w:rPr>
          <w:rFonts w:hint="eastAsia" w:ascii="宋体" w:hAnsi="宋体" w:cs="宋体"/>
          <w:color w:val="auto"/>
          <w:szCs w:val="21"/>
        </w:rPr>
        <w:t>按照总得分由高到低顺序推荐中标候选人。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8.2评标</w:t>
      </w:r>
      <w:r>
        <w:rPr>
          <w:rFonts w:hint="eastAsia" w:ascii="宋体" w:hAnsi="宋体" w:cs="宋体"/>
          <w:color w:val="auto"/>
          <w:szCs w:val="21"/>
          <w:lang w:val="en-US" w:eastAsia="zh-CN"/>
        </w:rPr>
        <w:t>小组</w:t>
      </w:r>
      <w:r>
        <w:rPr>
          <w:rFonts w:hint="eastAsia" w:ascii="宋体" w:hAnsi="宋体" w:cs="宋体"/>
          <w:color w:val="auto"/>
          <w:szCs w:val="21"/>
        </w:rPr>
        <w:t>完成评标后，应当向招标人提交书面评标报告。评标报告应当如实记载以下内容：</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（1）基本情况和数据表。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（2）评标</w:t>
      </w:r>
      <w:r>
        <w:rPr>
          <w:rFonts w:hint="eastAsia" w:ascii="宋体" w:hAnsi="宋体" w:cs="宋体"/>
          <w:color w:val="auto"/>
          <w:szCs w:val="21"/>
          <w:lang w:val="en-US" w:eastAsia="zh-CN"/>
        </w:rPr>
        <w:t>小组</w:t>
      </w:r>
      <w:r>
        <w:rPr>
          <w:rFonts w:hint="eastAsia" w:ascii="宋体" w:hAnsi="宋体" w:cs="宋体"/>
          <w:color w:val="auto"/>
          <w:szCs w:val="21"/>
        </w:rPr>
        <w:t>成员名单。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（3）开标记录。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（4）符合要求的投标人一览表。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（5）否决投标情况说明。</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（6）评标标准、评标方法或者评标因素。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（7）评标情况一览表。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（8）经评审的投标人排序。</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（9）推荐的中标候选人名单与签订合同前要处理的事宜。</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（10）澄清、说明、补正事项纪要。</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w:t>
      </w:r>
      <w:r>
        <w:rPr>
          <w:rFonts w:hint="eastAsia" w:ascii="宋体" w:hAnsi="宋体" w:cs="宋体"/>
          <w:color w:val="auto"/>
          <w:szCs w:val="21"/>
          <w:lang w:eastAsia="zh-CN"/>
        </w:rPr>
        <w:t>评标小组</w:t>
      </w:r>
      <w:r>
        <w:rPr>
          <w:rFonts w:hint="eastAsia" w:ascii="宋体" w:hAnsi="宋体" w:cs="宋体"/>
          <w:color w:val="auto"/>
          <w:szCs w:val="21"/>
        </w:rPr>
        <w:t>提出的中标候选人名单排序依次确定其他中标候选人为中标人，也可以重新招标。</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1" w:name="_Toc95223442"/>
      <w:r>
        <w:rPr>
          <w:rFonts w:hint="eastAsia" w:ascii="黑体" w:hAnsi="黑体" w:cs="黑体"/>
          <w:color w:val="auto"/>
          <w:sz w:val="21"/>
          <w:szCs w:val="21"/>
        </w:rPr>
        <w:t>9.其他</w:t>
      </w:r>
      <w:bookmarkEnd w:id="9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投标人提供的与投标文件有关的各类证书、证明、文件、资料等的真实性、合法性由投标人负全责。</w:t>
      </w:r>
    </w:p>
    <w:p>
      <w:pPr>
        <w:pStyle w:val="2"/>
        <w:ind w:left="0" w:leftChars="0" w:firstLine="0" w:firstLineChars="0"/>
        <w:rPr>
          <w:rFonts w:hint="eastAsia"/>
          <w:color w:val="auto"/>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rPr>
      </w:pPr>
      <w:bookmarkStart w:id="92" w:name="_Toc58430328"/>
      <w:bookmarkStart w:id="93" w:name="_Toc27776"/>
      <w:r>
        <w:rPr>
          <w:rFonts w:hint="eastAsia" w:ascii="宋体" w:hAnsi="宋体" w:eastAsia="宋体" w:cs="宋体"/>
          <w:color w:val="auto"/>
          <w:kern w:val="2"/>
          <w:sz w:val="28"/>
          <w:szCs w:val="28"/>
          <w:lang w:val="en-US" w:eastAsia="zh-CN"/>
        </w:rPr>
        <w:t>第四章</w:t>
      </w:r>
      <w:r>
        <w:rPr>
          <w:rFonts w:hint="eastAsia" w:ascii="宋体" w:hAnsi="宋体" w:eastAsia="宋体" w:cs="宋体"/>
          <w:color w:val="auto"/>
          <w:kern w:val="2"/>
          <w:sz w:val="28"/>
          <w:szCs w:val="28"/>
        </w:rPr>
        <w:t xml:space="preserve">  采购需求及服务要求</w:t>
      </w:r>
      <w:bookmarkEnd w:id="55"/>
      <w:bookmarkEnd w:id="92"/>
      <w:bookmarkEnd w:id="93"/>
    </w:p>
    <w:p>
      <w:pPr>
        <w:snapToGrid w:val="0"/>
        <w:spacing w:line="640" w:lineRule="exact"/>
        <w:jc w:val="center"/>
        <w:rPr>
          <w:rFonts w:hint="eastAsia" w:ascii="宋体"/>
          <w:b/>
          <w:color w:val="auto"/>
          <w:sz w:val="32"/>
          <w:szCs w:val="32"/>
          <w:highlight w:val="none"/>
        </w:rPr>
      </w:pPr>
      <w:r>
        <w:rPr>
          <w:rFonts w:hint="eastAsia" w:ascii="宋体" w:hAnsi="宋体" w:cs="宋体"/>
          <w:color w:val="auto"/>
          <w:highlight w:val="none"/>
        </w:rPr>
        <w:t>按第五章《跟踪审计委托协议》要求及相关规定</w:t>
      </w:r>
    </w:p>
    <w:p>
      <w:pPr>
        <w:pStyle w:val="6"/>
        <w:pageBreakBefore w:val="0"/>
        <w:kinsoku/>
        <w:wordWrap/>
        <w:overflowPunct/>
        <w:topLinePunct w:val="0"/>
        <w:autoSpaceDE/>
        <w:autoSpaceDN/>
        <w:bidi w:val="0"/>
        <w:spacing w:before="0" w:after="0" w:line="560" w:lineRule="exact"/>
        <w:textAlignment w:val="auto"/>
        <w:rPr>
          <w:rFonts w:ascii="宋体" w:hAnsi="宋体" w:eastAsia="宋体" w:cs="宋体"/>
          <w:color w:val="auto"/>
          <w:kern w:val="2"/>
          <w:sz w:val="28"/>
          <w:szCs w:val="28"/>
        </w:rPr>
      </w:pPr>
      <w:bookmarkStart w:id="94" w:name="_Toc25602"/>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五</w:t>
      </w:r>
      <w:r>
        <w:rPr>
          <w:rFonts w:hint="eastAsia" w:ascii="宋体" w:hAnsi="宋体" w:eastAsia="宋体" w:cs="宋体"/>
          <w:color w:val="auto"/>
          <w:kern w:val="2"/>
          <w:sz w:val="28"/>
          <w:szCs w:val="28"/>
        </w:rPr>
        <w:t>章  合同条款</w:t>
      </w:r>
      <w:bookmarkEnd w:id="48"/>
      <w:bookmarkEnd w:id="49"/>
      <w:bookmarkEnd w:id="50"/>
      <w:bookmarkEnd w:id="94"/>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委托方（甲方）：</w:t>
      </w:r>
      <w:r>
        <w:rPr>
          <w:rFonts w:hint="eastAsia" w:ascii="宋体" w:hAnsi="宋体" w:cs="宋体"/>
          <w:color w:val="auto"/>
          <w:kern w:val="0"/>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受托方（乙方）：</w:t>
      </w:r>
      <w:r>
        <w:rPr>
          <w:rFonts w:hint="eastAsia" w:ascii="宋体" w:hAnsi="宋体" w:cs="宋体"/>
          <w:color w:val="auto"/>
          <w:kern w:val="0"/>
          <w:u w:val="single"/>
        </w:rPr>
        <w:t xml:space="preserve">                         </w:t>
      </w: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r>
        <w:rPr>
          <w:rFonts w:hint="eastAsia" w:ascii="宋体" w:hAnsi="宋体" w:cs="宋体"/>
          <w:color w:val="auto"/>
          <w:kern w:val="0"/>
        </w:rPr>
        <w:t>为保证</w:t>
      </w:r>
      <w:r>
        <w:rPr>
          <w:rFonts w:hint="eastAsia" w:ascii="宋体" w:hAnsi="宋体" w:cs="宋体"/>
          <w:color w:val="auto"/>
          <w:kern w:val="0"/>
          <w:u w:val="single"/>
        </w:rPr>
        <w:t xml:space="preserve">                      （项目名称）   </w:t>
      </w:r>
      <w:r>
        <w:rPr>
          <w:rFonts w:hint="eastAsia" w:ascii="宋体" w:hAnsi="宋体" w:cs="宋体"/>
          <w:color w:val="auto"/>
          <w:kern w:val="0"/>
        </w:rPr>
        <w:t>跟踪审计工作质量和效率，依据《中华人民共和国审计法》、《中华人民共和国民法典》等有关法律法规，甲、乙双方经协商一致，自愿签订本协议。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一、跟踪审计项目</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1.项目名称：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2.项目投资额：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二、项目跟踪审计内容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1.成立项目跟踪审计组，编制跟踪审计实施方案，确定投资控制目标、重点环节及应对措施；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三、项目跟踪审计制度及相关要求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1.滁州市政府投资项目审计“八不准制度”；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2.滁州市政府投资项目竣工结算审计结果备案制度；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四、项目跟踪审计组及人员配备要求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1.乙方须成立项目跟踪审计组，配备相应数量具有相关专业执业资质的审计人员（满足文件要求）。本项目审计组负责人为</w:t>
      </w:r>
      <w:r>
        <w:rPr>
          <w:rFonts w:hint="eastAsia" w:ascii="宋体" w:hAnsi="宋体" w:cs="宋体"/>
          <w:color w:val="auto"/>
          <w:u w:val="single"/>
        </w:rPr>
        <w:t>姓名、一级注册造价工程证书号、联系电话</w:t>
      </w:r>
      <w:r>
        <w:rPr>
          <w:rFonts w:hint="eastAsia" w:ascii="宋体" w:hAnsi="宋体" w:cs="宋体"/>
          <w:color w:val="auto"/>
        </w:rPr>
        <w:t>，成员为</w:t>
      </w:r>
      <w:r>
        <w:rPr>
          <w:rFonts w:hint="eastAsia" w:ascii="宋体" w:hAnsi="宋体" w:cs="宋体"/>
          <w:color w:val="auto"/>
          <w:u w:val="single"/>
        </w:rPr>
        <w:t>姓名、一级注册造价</w:t>
      </w:r>
      <w:r>
        <w:rPr>
          <w:rFonts w:hint="eastAsia" w:ascii="宋体" w:hAnsi="宋体" w:cs="宋体"/>
          <w:color w:val="auto"/>
          <w:highlight w:val="none"/>
          <w:u w:val="single"/>
        </w:rPr>
        <w:t>工程师</w:t>
      </w:r>
      <w:r>
        <w:rPr>
          <w:rFonts w:hint="eastAsia" w:ascii="宋体" w:hAnsi="宋体" w:cs="宋体"/>
          <w:color w:val="auto"/>
          <w:highlight w:val="none"/>
          <w:u w:val="single"/>
          <w:lang w:val="en-US" w:eastAsia="zh-CN"/>
        </w:rPr>
        <w:t>证书</w:t>
      </w:r>
      <w:r>
        <w:rPr>
          <w:rFonts w:hint="eastAsia" w:ascii="宋体" w:hAnsi="宋体" w:cs="宋体"/>
          <w:color w:val="auto"/>
          <w:u w:val="single"/>
        </w:rPr>
        <w:t>或二级注册造价工程师或造价员证书号、联系电话</w:t>
      </w:r>
      <w:r>
        <w:rPr>
          <w:rFonts w:hint="eastAsia" w:ascii="宋体" w:hAnsi="宋体" w:cs="宋体"/>
          <w:color w:val="auto"/>
        </w:rPr>
        <w:t>；</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五、项目跟踪审计质量要求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1.甲方对乙方出具的项目竣工结算审核报告进行复审或抽查，审查结果误差按以下办法处理：（1）审查结果误差率在2%以内（含），可按照委托协议约定收取审计服务费用；（2）审查结果误差在2%</w:t>
      </w:r>
      <w:r>
        <w:rPr>
          <w:rFonts w:hint="eastAsia" w:ascii="宋体" w:hAnsi="宋体" w:cs="宋体"/>
          <w:color w:val="auto"/>
          <w:lang w:eastAsia="zh-CN"/>
        </w:rPr>
        <w:t>—</w:t>
      </w:r>
      <w:r>
        <w:rPr>
          <w:rFonts w:hint="eastAsia" w:ascii="宋体" w:hAnsi="宋体" w:cs="宋体"/>
          <w:color w:val="auto"/>
        </w:rPr>
        <w:t>3%（含）之间，审计服务费用扣除15%；（3）审查结果误差在3%</w:t>
      </w:r>
      <w:r>
        <w:rPr>
          <w:rFonts w:hint="eastAsia" w:ascii="宋体" w:hAnsi="宋体" w:cs="宋体"/>
          <w:color w:val="auto"/>
          <w:lang w:eastAsia="zh-CN"/>
        </w:rPr>
        <w:t>—</w:t>
      </w:r>
      <w:r>
        <w:rPr>
          <w:rFonts w:hint="eastAsia" w:ascii="宋体" w:hAnsi="宋体" w:cs="宋体"/>
          <w:color w:val="auto"/>
        </w:rPr>
        <w:t>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六、项目跟踪审计服务费用标准及结算方式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1.项目跟踪审计服务费用标准</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本项目基本费为</w:t>
      </w:r>
      <w:r>
        <w:rPr>
          <w:rFonts w:hint="eastAsia" w:ascii="宋体" w:hAnsi="宋体" w:cs="宋体"/>
          <w:color w:val="auto"/>
          <w:u w:val="single"/>
        </w:rPr>
        <w:t xml:space="preserve">            </w:t>
      </w:r>
      <w:r>
        <w:rPr>
          <w:rFonts w:hint="eastAsia" w:ascii="宋体" w:hAnsi="宋体" w:cs="宋体"/>
          <w:color w:val="auto"/>
        </w:rPr>
        <w:t xml:space="preserve"> ，审核成果费率为：</w:t>
      </w:r>
      <w:r>
        <w:rPr>
          <w:rFonts w:hint="eastAsia" w:ascii="宋体" w:hAnsi="宋体" w:cs="宋体"/>
          <w:color w:val="auto"/>
          <w:u w:val="single"/>
        </w:rPr>
        <w:t xml:space="preserve"> 1.5  </w:t>
      </w:r>
      <w:r>
        <w:rPr>
          <w:rFonts w:hint="eastAsia" w:ascii="宋体" w:hAnsi="宋体" w:cs="宋体"/>
          <w:color w:val="auto"/>
        </w:rPr>
        <w:t>％</w:t>
      </w:r>
      <w:r>
        <w:rPr>
          <w:rFonts w:hint="eastAsia" w:ascii="宋体" w:hAnsi="宋体" w:cs="宋体"/>
          <w:color w:val="auto"/>
          <w:sz w:val="24"/>
          <w:szCs w:val="24"/>
        </w:rPr>
        <w:t>（审核成果费率固定不变，由施工单位支付）</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说明：（1）跟踪审计费用计算方式为：基本费用+审核成果费用</w:t>
      </w:r>
      <w:r>
        <w:rPr>
          <w:rFonts w:hint="eastAsia" w:ascii="宋体" w:hAnsi="宋体" w:cs="宋体"/>
          <w:color w:val="auto"/>
          <w:lang w:eastAsia="zh-CN"/>
        </w:rPr>
        <w:t>；</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2.项目跟踪审计费用结算方式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（1）</w:t>
      </w:r>
      <w:r>
        <w:rPr>
          <w:rFonts w:hint="eastAsia" w:ascii="宋体" w:hAnsi="宋体" w:cs="宋体"/>
          <w:b/>
          <w:bCs/>
          <w:color w:val="auto"/>
          <w:szCs w:val="21"/>
          <w:highlight w:val="none"/>
          <w:lang w:eastAsia="zh-CN"/>
        </w:rPr>
        <w:t>乙方及时完成项目审计工作并出具审核报告，交付甲方审查确认后，</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（2）乙方未按要求完成跟踪审计工作并移交相关资料，甲方有权拒付审计服务费用，</w:t>
      </w:r>
      <w:r>
        <w:rPr>
          <w:rFonts w:hint="eastAsia" w:ascii="宋体" w:hAnsi="宋体" w:cs="宋体"/>
          <w:color w:val="auto"/>
          <w:highlight w:val="none"/>
        </w:rPr>
        <w:t>并按照《政府投资项目跟踪审计协审机构跟踪审计工作考核办法》的</w:t>
      </w:r>
      <w:r>
        <w:rPr>
          <w:rFonts w:hint="eastAsia" w:ascii="宋体" w:hAnsi="宋体" w:cs="宋体"/>
          <w:color w:val="auto"/>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七、项目跟踪审计工作考核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（1）工程结算审核报告存在重大失误或质量低劣；</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（2）因自身工作错误或过失造成重大损失；</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（3）未经允许私自向施工单位透露审核情况或信息；</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（4）向相关单位或个人索要财物等谋取不正当利益；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（5）单独或与其他各方串通舞弊、弄虚作假虚增；</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ascii="宋体" w:hAnsi="宋体" w:cs="宋体"/>
          <w:color w:val="auto"/>
        </w:rPr>
      </w:pPr>
      <w:r>
        <w:rPr>
          <w:rFonts w:hint="eastAsia" w:ascii="宋体" w:hAnsi="宋体" w:cs="宋体"/>
          <w:b/>
          <w:bCs/>
          <w:color w:val="auto"/>
          <w:sz w:val="24"/>
          <w:szCs w:val="24"/>
        </w:rPr>
        <w:t>八、甲乙双方的权利和义务</w:t>
      </w:r>
      <w:r>
        <w:rPr>
          <w:rFonts w:hint="eastAsia" w:ascii="宋体" w:hAnsi="宋体" w:cs="宋体"/>
          <w:color w:val="auto"/>
        </w:rPr>
        <w:t xml:space="preserve">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1.甲方权利和义务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（1）甲方有权对乙方的跟踪审计项目实施监督，对乙方审计工作程序、质量和效率等进行检查考核；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（2）项目跟踪审计过程中，甲方如发现乙方所派审计人员不符合要求或不能胜任岗位工作职责的，甲方有权要求乙方及时调换，或视情况给予相应的处理、处罚；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（3）甲方保证乙方审计服务费用的按时到位。</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2.乙方权利和义务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（1）乙方在完成审计任务后，有权及时取得审计服务费用；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eastAsia="宋体" w:cs="宋体"/>
          <w:color w:val="auto"/>
          <w:lang w:eastAsia="zh-CN"/>
        </w:rPr>
      </w:pPr>
      <w:r>
        <w:rPr>
          <w:rFonts w:hint="eastAsia" w:ascii="宋体" w:hAnsi="宋体" w:cs="宋体"/>
          <w:color w:val="auto"/>
          <w:lang w:eastAsia="zh-CN"/>
        </w:rPr>
        <w:t>（</w:t>
      </w:r>
      <w:r>
        <w:rPr>
          <w:rFonts w:hint="eastAsia" w:ascii="宋体" w:hAnsi="宋体" w:cs="宋体"/>
          <w:color w:val="auto"/>
          <w:lang w:val="en-US" w:eastAsia="zh-CN"/>
        </w:rPr>
        <w:t>4</w:t>
      </w:r>
      <w:r>
        <w:rPr>
          <w:rFonts w:hint="eastAsia" w:ascii="宋体" w:hAnsi="宋体" w:cs="宋体"/>
          <w:color w:val="auto"/>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九、附则</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b/>
          <w:color w:val="auto"/>
        </w:rPr>
      </w:pPr>
      <w:r>
        <w:rPr>
          <w:rFonts w:hint="eastAsia" w:ascii="宋体" w:hAnsi="宋体" w:cs="宋体"/>
          <w:color w:val="auto"/>
        </w:rPr>
        <w:t>1.本协议一式肆份，具有同等法律效力，甲方、乙方各执贰份。</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3.本合同自双方签章后生效。</w:t>
      </w: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840" w:firstLineChars="400"/>
        <w:jc w:val="left"/>
        <w:textAlignment w:val="auto"/>
        <w:rPr>
          <w:rFonts w:ascii="宋体" w:hAnsi="宋体" w:cs="宋体"/>
          <w:color w:val="auto"/>
        </w:rPr>
      </w:pPr>
      <w:r>
        <w:rPr>
          <w:rFonts w:hint="eastAsia" w:ascii="宋体" w:hAnsi="宋体" w:cs="宋体"/>
          <w:color w:val="auto"/>
        </w:rPr>
        <w:t xml:space="preserve">甲方（签章）                 </w:t>
      </w:r>
      <w:r>
        <w:rPr>
          <w:rFonts w:hint="eastAsia" w:ascii="宋体" w:hAnsi="宋体" w:cs="宋体"/>
          <w:color w:val="auto"/>
          <w:lang w:val="en-US" w:eastAsia="zh-CN"/>
        </w:rPr>
        <w:t xml:space="preserve">   </w:t>
      </w:r>
      <w:r>
        <w:rPr>
          <w:rFonts w:hint="eastAsia" w:ascii="宋体" w:hAnsi="宋体" w:cs="宋体"/>
          <w:color w:val="auto"/>
        </w:rPr>
        <w:t xml:space="preserve"> </w:t>
      </w:r>
      <w:r>
        <w:rPr>
          <w:rFonts w:hint="eastAsia" w:ascii="宋体" w:hAnsi="宋体" w:cs="宋体"/>
          <w:color w:val="auto"/>
          <w:lang w:val="en-US" w:eastAsia="zh-CN"/>
        </w:rPr>
        <w:t xml:space="preserve">      </w:t>
      </w:r>
      <w:r>
        <w:rPr>
          <w:rFonts w:hint="eastAsia" w:ascii="宋体" w:hAnsi="宋体" w:cs="宋体"/>
          <w:color w:val="auto"/>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840" w:firstLineChars="400"/>
        <w:textAlignment w:val="auto"/>
        <w:rPr>
          <w:rFonts w:ascii="仿宋_GB2312" w:hAnsi="仿宋" w:eastAsia="仿宋_GB2312" w:cs="Times New Roman"/>
          <w:color w:val="auto"/>
          <w:kern w:val="2"/>
          <w:sz w:val="28"/>
          <w:szCs w:val="28"/>
        </w:rPr>
      </w:pPr>
      <w:r>
        <w:rPr>
          <w:rFonts w:hint="eastAsia"/>
          <w:color w:val="auto"/>
          <w:sz w:val="21"/>
          <w:szCs w:val="21"/>
        </w:rPr>
        <w:t xml:space="preserve">年    月    日                </w:t>
      </w:r>
      <w:r>
        <w:rPr>
          <w:rFonts w:hint="eastAsia"/>
          <w:color w:val="auto"/>
          <w:sz w:val="21"/>
          <w:szCs w:val="21"/>
          <w:lang w:val="en-US" w:eastAsia="zh-CN"/>
        </w:rPr>
        <w:t xml:space="preserve">     </w:t>
      </w: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年   月   日</w:t>
      </w:r>
      <w:r>
        <w:rPr>
          <w:rFonts w:hint="eastAsia" w:ascii="仿宋_GB2312" w:hAnsi="仿宋" w:eastAsia="仿宋_GB2312" w:cs="Times New Roman"/>
          <w:color w:val="auto"/>
          <w:kern w:val="2"/>
          <w:sz w:val="28"/>
          <w:szCs w:val="28"/>
        </w:rPr>
        <w:t xml:space="preserve"> </w:t>
      </w:r>
    </w:p>
    <w:p>
      <w:pPr>
        <w:spacing w:before="159" w:beforeLines="50" w:after="159" w:afterLines="50"/>
        <w:jc w:val="center"/>
        <w:rPr>
          <w:rFonts w:ascii="宋体"/>
          <w:b/>
          <w:color w:val="auto"/>
          <w:sz w:val="32"/>
          <w:szCs w:val="32"/>
        </w:rPr>
      </w:pPr>
    </w:p>
    <w:p>
      <w:pPr>
        <w:rPr>
          <w:color w:val="auto"/>
        </w:rPr>
      </w:pPr>
      <w:r>
        <w:rPr>
          <w:rFonts w:hint="eastAsia" w:ascii="仿宋_GB2312" w:eastAsia="仿宋_GB2312"/>
          <w:color w:val="auto"/>
          <w:sz w:val="28"/>
          <w:szCs w:val="28"/>
          <w:u w:val="single"/>
        </w:rPr>
        <w:t xml:space="preserve">       </w:t>
      </w:r>
    </w:p>
    <w:p>
      <w:pPr>
        <w:pStyle w:val="6"/>
        <w:spacing w:before="0" w:after="0"/>
        <w:rPr>
          <w:rFonts w:hint="eastAsia" w:ascii="宋体" w:hAnsi="宋体" w:eastAsia="宋体" w:cs="宋体"/>
          <w:color w:val="auto"/>
          <w:kern w:val="2"/>
          <w:sz w:val="28"/>
          <w:szCs w:val="28"/>
        </w:rPr>
      </w:pPr>
      <w:bookmarkStart w:id="95" w:name="_Toc31238"/>
    </w:p>
    <w:p>
      <w:pPr>
        <w:pStyle w:val="6"/>
        <w:spacing w:before="0" w:after="0"/>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pStyle w:val="6"/>
        <w:spacing w:before="0" w:after="0"/>
        <w:jc w:val="center"/>
        <w:rPr>
          <w:rFonts w:hint="eastAsia" w:ascii="宋体" w:hAnsi="宋体" w:eastAsia="宋体" w:cs="宋体"/>
          <w:color w:val="auto"/>
          <w:kern w:val="2"/>
          <w:sz w:val="28"/>
          <w:szCs w:val="28"/>
        </w:rPr>
      </w:pPr>
    </w:p>
    <w:p>
      <w:pPr>
        <w:pStyle w:val="6"/>
        <w:spacing w:before="0" w:after="0"/>
        <w:jc w:val="both"/>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rPr>
      </w:pPr>
    </w:p>
    <w:p>
      <w:pPr>
        <w:pStyle w:val="6"/>
        <w:spacing w:before="0" w:after="0"/>
        <w:jc w:val="center"/>
        <w:rPr>
          <w:rFonts w:ascii="宋体" w:hAnsi="宋体" w:eastAsia="宋体" w:cs="宋体"/>
          <w:color w:val="auto"/>
          <w:kern w:val="2"/>
          <w:sz w:val="28"/>
          <w:szCs w:val="28"/>
        </w:rPr>
      </w:pPr>
      <w:bookmarkStart w:id="96" w:name="_Toc15578"/>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95"/>
      <w:bookmarkEnd w:id="96"/>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lang w:eastAsia="zh-CN"/>
        </w:rPr>
      </w:pPr>
      <w:r>
        <w:rPr>
          <w:rFonts w:eastAsia="黑体"/>
          <w:color w:val="auto"/>
          <w:sz w:val="44"/>
          <w:szCs w:val="44"/>
        </w:rPr>
        <w:t xml:space="preserve">投  标  文  件  </w:t>
      </w:r>
      <w:r>
        <w:rPr>
          <w:rFonts w:hint="eastAsia" w:eastAsia="黑体"/>
          <w:color w:val="auto"/>
          <w:sz w:val="44"/>
          <w:szCs w:val="44"/>
          <w:lang w:val="en-US" w:eastAsia="zh-CN"/>
        </w:rPr>
        <w:t>一</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资信证明</w:t>
      </w:r>
      <w:r>
        <w:rPr>
          <w:rFonts w:eastAsia="黑体"/>
          <w:color w:val="auto"/>
          <w:sz w:val="44"/>
          <w:szCs w:val="44"/>
        </w:rPr>
        <w:t>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b/>
          <w:color w:val="auto"/>
          <w:sz w:val="28"/>
          <w:szCs w:val="28"/>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5</w:t>
      </w: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和拟任项目负责人（总监理工程师）须持有社保部门出具的本单位为其缴纳的投标前近</w:t>
      </w:r>
      <w:r>
        <w:rPr>
          <w:rFonts w:hint="eastAsia" w:ascii="宋体" w:hAnsi="宋体" w:cs="宋体"/>
          <w:color w:val="auto"/>
          <w:szCs w:val="21"/>
          <w:lang w:eastAsia="zh-CN"/>
        </w:rPr>
        <w:t>六个月连续的养老保险证明</w:t>
      </w:r>
      <w:r>
        <w:rPr>
          <w:rFonts w:hint="eastAsia" w:ascii="宋体" w:hAnsi="宋体" w:cs="宋体"/>
          <w:color w:val="auto"/>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6</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eastAsia" w:eastAsia="宋体"/>
          <w:lang w:eastAsia="zh-CN"/>
        </w:rPr>
      </w:pPr>
      <w:r>
        <w:rPr>
          <w:rFonts w:hint="eastAsia" w:ascii="宋体" w:hAnsi="宋体" w:cs="宋体"/>
          <w:color w:val="auto"/>
          <w:szCs w:val="21"/>
          <w:lang w:val="en-US" w:eastAsia="zh-CN"/>
        </w:rPr>
        <w:t>（7）业绩证明材料（如有）及</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97"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97"/>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rPr>
      </w:pPr>
      <w:r>
        <w:rPr>
          <w:rFonts w:eastAsia="黑体"/>
          <w:color w:val="auto"/>
          <w:sz w:val="44"/>
          <w:szCs w:val="44"/>
        </w:rPr>
        <w:t xml:space="preserve">投  标  文  件  </w:t>
      </w:r>
      <w:r>
        <w:rPr>
          <w:rFonts w:hint="eastAsia" w:eastAsia="黑体"/>
          <w:color w:val="auto"/>
          <w:sz w:val="44"/>
          <w:szCs w:val="44"/>
        </w:rPr>
        <w:t>二</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商务</w:t>
      </w:r>
      <w:r>
        <w:rPr>
          <w:rFonts w:eastAsia="黑体"/>
          <w:color w:val="auto"/>
          <w:sz w:val="44"/>
          <w:szCs w:val="44"/>
        </w:rPr>
        <w:t>标文件）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rFonts w:hint="eastAsia" w:eastAsia="黑体"/>
          <w:b/>
          <w:color w:val="auto"/>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hint="eastAsia" w:eastAsia="黑体"/>
          <w:color w:val="auto"/>
          <w:sz w:val="28"/>
          <w:szCs w:val="28"/>
          <w:u w:val="none"/>
          <w:lang w:val="en-US" w:eastAsia="zh-CN"/>
        </w:rPr>
        <w:t>日</w:t>
      </w:r>
    </w:p>
    <w:p>
      <w:pPr>
        <w:pStyle w:val="34"/>
        <w:ind w:left="420" w:hanging="420"/>
        <w:rPr>
          <w:rFonts w:hint="eastAsia"/>
          <w:color w:val="auto"/>
          <w:szCs w:val="21"/>
        </w:rPr>
      </w:pPr>
    </w:p>
    <w:p>
      <w:pPr>
        <w:widowControl/>
        <w:spacing w:line="440" w:lineRule="exact"/>
        <w:ind w:firstLine="420" w:firstLineChars="200"/>
        <w:jc w:val="center"/>
        <w:textAlignment w:val="baseline"/>
        <w:rPr>
          <w:rFonts w:hint="eastAsia" w:ascii="宋体" w:hAnsi="宋体" w:cs="宋体"/>
          <w:color w:val="auto"/>
          <w:kern w:val="0"/>
          <w:szCs w:val="21"/>
          <w:u w:color="000000"/>
          <w:lang w:val="en-US" w:eastAsia="zh-CN"/>
        </w:rPr>
      </w:pPr>
      <w:r>
        <w:rPr>
          <w:rFonts w:hint="eastAsia" w:ascii="宋体" w:hAnsi="宋体" w:cs="宋体"/>
          <w:color w:val="auto"/>
          <w:kern w:val="0"/>
          <w:szCs w:val="21"/>
          <w:u w:color="000000"/>
          <w:lang w:val="en-US" w:eastAsia="zh-CN"/>
        </w:rPr>
        <w:t>目  录</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1</w:t>
      </w:r>
      <w:r>
        <w:rPr>
          <w:rFonts w:hint="eastAsia" w:ascii="宋体" w:hAnsi="宋体" w:cs="宋体"/>
          <w:color w:val="auto"/>
          <w:kern w:val="0"/>
          <w:szCs w:val="21"/>
          <w:u w:color="000000"/>
        </w:rPr>
        <w:t>）投标函（格式见附件）；</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2</w:t>
      </w:r>
      <w:r>
        <w:rPr>
          <w:rFonts w:hint="eastAsia" w:ascii="宋体" w:hAnsi="宋体" w:cs="宋体"/>
          <w:color w:val="auto"/>
          <w:kern w:val="0"/>
          <w:szCs w:val="21"/>
          <w:u w:color="000000"/>
        </w:rPr>
        <w:t>）招标文件要求提供的其他证明材料。</w:t>
      </w: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u w:val="single"/>
        </w:rPr>
        <w:t>招标人</w:t>
      </w:r>
      <w:r>
        <w:rPr>
          <w:rFonts w:hint="eastAsia" w:ascii="宋体"/>
          <w:color w:val="auto"/>
          <w:sz w:val="24"/>
          <w:u w:val="single"/>
          <w:lang w:eastAsia="zh-CN"/>
        </w:rPr>
        <w:t>）</w:t>
      </w:r>
      <w:r>
        <w:rPr>
          <w:rFonts w:hint="eastAsia" w:ascii="宋体"/>
          <w:color w:val="auto"/>
          <w:sz w:val="24"/>
          <w:u w:val="single"/>
        </w:rPr>
        <w:t xml:space="preserve">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rPr>
        <w:t>姓名和职务</w:t>
      </w:r>
      <w:r>
        <w:rPr>
          <w:rFonts w:hint="eastAsia" w:ascii="宋体"/>
          <w:color w:val="auto"/>
          <w:sz w:val="24"/>
          <w:lang w:eastAsia="zh-CN"/>
        </w:rPr>
        <w:t>）</w:t>
      </w:r>
      <w:r>
        <w:rPr>
          <w:rFonts w:hint="eastAsia" w:ascii="宋体"/>
          <w:color w:val="auto"/>
          <w:sz w:val="24"/>
        </w:rPr>
        <w:t>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基本费</w:t>
      </w:r>
      <w:r>
        <w:rPr>
          <w:rFonts w:hint="eastAsia" w:ascii="宋体"/>
          <w:b/>
          <w:bCs/>
          <w:color w:val="auto"/>
          <w:lang w:val="en-US" w:eastAsia="zh-CN"/>
        </w:rPr>
        <w:t>费率</w:t>
      </w:r>
      <w:r>
        <w:rPr>
          <w:rFonts w:hint="eastAsia" w:ascii="宋体"/>
          <w:b/>
          <w:bCs/>
          <w:color w:val="auto"/>
        </w:rPr>
        <w:t xml:space="preserve"> </w:t>
      </w:r>
      <w:r>
        <w:rPr>
          <w:rFonts w:hint="eastAsia" w:ascii="宋体"/>
          <w:b/>
          <w:bCs/>
          <w:color w:val="auto"/>
          <w:u w:val="single"/>
        </w:rPr>
        <w:t xml:space="preserve">       </w:t>
      </w:r>
      <w:r>
        <w:rPr>
          <w:rFonts w:hint="eastAsia" w:ascii="宋体"/>
          <w:b/>
          <w:bCs/>
          <w:color w:val="auto"/>
        </w:rPr>
        <w:t xml:space="preserve"> ，审核成果费率1.50%。</w:t>
      </w:r>
      <w:r>
        <w:rPr>
          <w:rFonts w:hint="eastAsia" w:ascii="宋体"/>
          <w:b/>
          <w:bCs/>
          <w:color w:val="auto"/>
          <w:highlight w:val="none"/>
          <w:lang w:val="en-US" w:eastAsia="zh-CN"/>
        </w:rPr>
        <w:t xml:space="preserve">开具增值税专用发票，税率为 </w:t>
      </w:r>
      <w:r>
        <w:rPr>
          <w:rFonts w:hint="eastAsia" w:ascii="宋体"/>
          <w:b/>
          <w:bCs/>
          <w:color w:val="auto"/>
          <w:highlight w:val="none"/>
          <w:u w:val="single"/>
          <w:lang w:val="en-US" w:eastAsia="zh-CN"/>
        </w:rPr>
        <w:t xml:space="preserve">   %</w:t>
      </w:r>
      <w:r>
        <w:rPr>
          <w:rFonts w:hint="eastAsia" w:ascii="宋体"/>
          <w:b/>
          <w:bCs/>
          <w:color w:val="auto"/>
          <w:highlight w:val="none"/>
          <w:u w:val="none"/>
          <w:lang w:val="en-US" w:eastAsia="zh-CN"/>
        </w:rPr>
        <w:t>。</w:t>
      </w:r>
      <w:r>
        <w:rPr>
          <w:rFonts w:hint="eastAsia" w:ascii="宋体"/>
          <w:color w:val="auto"/>
          <w:highlight w:val="none"/>
        </w:rPr>
        <w:t>项目负责人为</w:t>
      </w:r>
      <w:r>
        <w:rPr>
          <w:rFonts w:hint="eastAsia" w:ascii="宋体"/>
          <w:color w:val="auto"/>
          <w:highlight w:val="none"/>
          <w:u w:val="single"/>
        </w:rPr>
        <w:t xml:space="preserve">       </w:t>
      </w:r>
      <w:r>
        <w:rPr>
          <w:rFonts w:hint="eastAsia" w:ascii="宋体"/>
          <w:color w:val="auto"/>
          <w:highlight w:val="none"/>
        </w:rPr>
        <w:t>，</w:t>
      </w:r>
      <w:r>
        <w:rPr>
          <w:rFonts w:hint="eastAsia" w:ascii="宋体"/>
          <w:color w:val="auto"/>
          <w:sz w:val="24"/>
          <w:highlight w:val="none"/>
        </w:rPr>
        <w:t>供货（服务）期 ：</w:t>
      </w:r>
      <w:r>
        <w:rPr>
          <w:rFonts w:hint="eastAsia" w:ascii="宋体"/>
          <w:color w:val="auto"/>
          <w:sz w:val="24"/>
          <w:highlight w:val="none"/>
          <w:u w:val="single"/>
        </w:rPr>
        <w:t>自签订合同之日起至整体竣工验收</w:t>
      </w:r>
      <w:r>
        <w:rPr>
          <w:rFonts w:hint="eastAsia" w:ascii="宋体"/>
          <w:color w:val="auto"/>
          <w:sz w:val="24"/>
          <w:u w:val="single"/>
        </w:rPr>
        <w:t>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p>
      <w:pPr>
        <w:spacing w:line="360" w:lineRule="auto"/>
        <w:jc w:val="center"/>
        <w:rPr>
          <w:rFonts w:ascii="宋体"/>
          <w:color w:val="auto"/>
          <w:sz w:val="32"/>
          <w:szCs w:val="32"/>
        </w:rPr>
      </w:pPr>
    </w:p>
    <w:p>
      <w:pPr>
        <w:ind w:firstLine="420" w:firstLineChars="200"/>
        <w:rPr>
          <w:rFonts w:ascii="仿宋" w:hAnsi="仿宋" w:eastAsia="仿宋" w:cs="仿宋"/>
          <w:color w:val="auto"/>
        </w:rPr>
      </w:pPr>
    </w:p>
    <w:p>
      <w:pPr>
        <w:rPr>
          <w:rFonts w:ascii="仿宋" w:hAnsi="仿宋" w:eastAsia="仿宋" w:cs="仿宋"/>
          <w:color w:val="auto"/>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p>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F5627"/>
    <w:multiLevelType w:val="singleLevel"/>
    <w:tmpl w:val="D6DF5627"/>
    <w:lvl w:ilvl="0" w:tentative="0">
      <w:start w:val="29"/>
      <w:numFmt w:val="decimal"/>
      <w:suff w:val="space"/>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806516"/>
    <w:rsid w:val="02451D44"/>
    <w:rsid w:val="02860CE1"/>
    <w:rsid w:val="02921645"/>
    <w:rsid w:val="02966A1D"/>
    <w:rsid w:val="02A06DF6"/>
    <w:rsid w:val="03311B51"/>
    <w:rsid w:val="034073BB"/>
    <w:rsid w:val="035607B0"/>
    <w:rsid w:val="035A0B08"/>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C815D4"/>
    <w:rsid w:val="0BD70F17"/>
    <w:rsid w:val="0C0134F9"/>
    <w:rsid w:val="0C5E2909"/>
    <w:rsid w:val="0C7D0506"/>
    <w:rsid w:val="0CAF4438"/>
    <w:rsid w:val="0CDE4AF1"/>
    <w:rsid w:val="0D2F7233"/>
    <w:rsid w:val="0D31264B"/>
    <w:rsid w:val="0D503DE8"/>
    <w:rsid w:val="0D5E4FBA"/>
    <w:rsid w:val="0D935A19"/>
    <w:rsid w:val="0DB0649C"/>
    <w:rsid w:val="0E565E54"/>
    <w:rsid w:val="0E6D2AA6"/>
    <w:rsid w:val="0E832759"/>
    <w:rsid w:val="0F260D83"/>
    <w:rsid w:val="0F3872E6"/>
    <w:rsid w:val="0F74337A"/>
    <w:rsid w:val="0F8F174E"/>
    <w:rsid w:val="106F1985"/>
    <w:rsid w:val="10C74040"/>
    <w:rsid w:val="11FC0C31"/>
    <w:rsid w:val="12021072"/>
    <w:rsid w:val="12543983"/>
    <w:rsid w:val="12A948F2"/>
    <w:rsid w:val="12B665CC"/>
    <w:rsid w:val="137A735A"/>
    <w:rsid w:val="13B24508"/>
    <w:rsid w:val="13BD1EF1"/>
    <w:rsid w:val="140A3F0D"/>
    <w:rsid w:val="143A5F3C"/>
    <w:rsid w:val="14620C2E"/>
    <w:rsid w:val="14A64A45"/>
    <w:rsid w:val="151478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4E7880"/>
    <w:rsid w:val="1D5726AE"/>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86038F"/>
    <w:rsid w:val="26D6442E"/>
    <w:rsid w:val="27270303"/>
    <w:rsid w:val="2788491B"/>
    <w:rsid w:val="27C2321A"/>
    <w:rsid w:val="28164313"/>
    <w:rsid w:val="28C72B2B"/>
    <w:rsid w:val="29602DF6"/>
    <w:rsid w:val="2A081AFD"/>
    <w:rsid w:val="2A241E9E"/>
    <w:rsid w:val="2AB033FD"/>
    <w:rsid w:val="2B0B00AD"/>
    <w:rsid w:val="2B420197"/>
    <w:rsid w:val="2C874AAF"/>
    <w:rsid w:val="2C8E66A6"/>
    <w:rsid w:val="2CAF5168"/>
    <w:rsid w:val="2CBB47F9"/>
    <w:rsid w:val="2D111FD8"/>
    <w:rsid w:val="2D275EB3"/>
    <w:rsid w:val="2D4A1910"/>
    <w:rsid w:val="2E6B0765"/>
    <w:rsid w:val="2EFD1D1D"/>
    <w:rsid w:val="2F3A186E"/>
    <w:rsid w:val="2FD92302"/>
    <w:rsid w:val="30F05F59"/>
    <w:rsid w:val="32463510"/>
    <w:rsid w:val="32852601"/>
    <w:rsid w:val="332433C5"/>
    <w:rsid w:val="3376156C"/>
    <w:rsid w:val="339C188C"/>
    <w:rsid w:val="33BD26F8"/>
    <w:rsid w:val="33C824C2"/>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3B0878"/>
    <w:rsid w:val="3EED354E"/>
    <w:rsid w:val="3F173AB4"/>
    <w:rsid w:val="3F4E74DA"/>
    <w:rsid w:val="3F6208A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7F00319"/>
    <w:rsid w:val="4842699B"/>
    <w:rsid w:val="485A4022"/>
    <w:rsid w:val="48986B3F"/>
    <w:rsid w:val="49B66251"/>
    <w:rsid w:val="4AB50890"/>
    <w:rsid w:val="4AC7233B"/>
    <w:rsid w:val="4B1E5923"/>
    <w:rsid w:val="4B9F76BF"/>
    <w:rsid w:val="4BAA4F08"/>
    <w:rsid w:val="4BB93099"/>
    <w:rsid w:val="4C9E15DF"/>
    <w:rsid w:val="4CD65604"/>
    <w:rsid w:val="4CD87112"/>
    <w:rsid w:val="4D9B2BA2"/>
    <w:rsid w:val="4DDC7792"/>
    <w:rsid w:val="4E532013"/>
    <w:rsid w:val="4E5C029C"/>
    <w:rsid w:val="4F8A1859"/>
    <w:rsid w:val="4FD23591"/>
    <w:rsid w:val="502D24E4"/>
    <w:rsid w:val="5087096D"/>
    <w:rsid w:val="516B4DC3"/>
    <w:rsid w:val="52A2363E"/>
    <w:rsid w:val="52CE5689"/>
    <w:rsid w:val="53122999"/>
    <w:rsid w:val="53294814"/>
    <w:rsid w:val="5394125E"/>
    <w:rsid w:val="54727BA5"/>
    <w:rsid w:val="558A3D0F"/>
    <w:rsid w:val="56395B87"/>
    <w:rsid w:val="569E5C28"/>
    <w:rsid w:val="56F5327C"/>
    <w:rsid w:val="56FA7641"/>
    <w:rsid w:val="571C5F2B"/>
    <w:rsid w:val="57313D11"/>
    <w:rsid w:val="578D69F6"/>
    <w:rsid w:val="59103D2C"/>
    <w:rsid w:val="599A4762"/>
    <w:rsid w:val="5B361E7C"/>
    <w:rsid w:val="5B554B3E"/>
    <w:rsid w:val="5B5877E2"/>
    <w:rsid w:val="5B5E287E"/>
    <w:rsid w:val="5BE3458F"/>
    <w:rsid w:val="5BE73983"/>
    <w:rsid w:val="5DD0286D"/>
    <w:rsid w:val="5DD83C04"/>
    <w:rsid w:val="5EC84FF2"/>
    <w:rsid w:val="5EEA0F2A"/>
    <w:rsid w:val="5F0E45BB"/>
    <w:rsid w:val="5F9D1CA2"/>
    <w:rsid w:val="5FC81CAB"/>
    <w:rsid w:val="5FD300DB"/>
    <w:rsid w:val="60284D4C"/>
    <w:rsid w:val="602A1431"/>
    <w:rsid w:val="602F06F9"/>
    <w:rsid w:val="608C59E7"/>
    <w:rsid w:val="60CA10D1"/>
    <w:rsid w:val="61095D5D"/>
    <w:rsid w:val="61284751"/>
    <w:rsid w:val="6157102B"/>
    <w:rsid w:val="618D20FF"/>
    <w:rsid w:val="62202B07"/>
    <w:rsid w:val="628506F0"/>
    <w:rsid w:val="6294738C"/>
    <w:rsid w:val="62F006F1"/>
    <w:rsid w:val="63A33158"/>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62C6AF6"/>
    <w:rsid w:val="765A6376"/>
    <w:rsid w:val="76955006"/>
    <w:rsid w:val="774E2667"/>
    <w:rsid w:val="785C5E6F"/>
    <w:rsid w:val="7A4A386D"/>
    <w:rsid w:val="7A650E3C"/>
    <w:rsid w:val="7A9B18B0"/>
    <w:rsid w:val="7B360113"/>
    <w:rsid w:val="7B4A526C"/>
    <w:rsid w:val="7B4C4B65"/>
    <w:rsid w:val="7B780F7C"/>
    <w:rsid w:val="7B9D6375"/>
    <w:rsid w:val="7C6D63F4"/>
    <w:rsid w:val="7C6F0B11"/>
    <w:rsid w:val="7C8660BD"/>
    <w:rsid w:val="7CA05978"/>
    <w:rsid w:val="7D1370F0"/>
    <w:rsid w:val="7D71333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9">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qFormat/>
    <w:uiPriority w:val="99"/>
    <w:pPr>
      <w:ind w:firstLine="420" w:firstLineChars="200"/>
    </w:pPr>
  </w:style>
  <w:style w:type="paragraph" w:styleId="3">
    <w:name w:val="Body Text Indent"/>
    <w:basedOn w:val="1"/>
    <w:next w:val="4"/>
    <w:link w:val="77"/>
    <w:autoRedefine/>
    <w:qFormat/>
    <w:uiPriority w:val="99"/>
    <w:pPr>
      <w:spacing w:line="500" w:lineRule="exact"/>
      <w:ind w:firstLine="538"/>
    </w:pPr>
    <w:rPr>
      <w:sz w:val="28"/>
      <w:szCs w:val="28"/>
    </w:rPr>
  </w:style>
  <w:style w:type="paragraph" w:styleId="4">
    <w:name w:val="envelope return"/>
    <w:basedOn w:val="1"/>
    <w:next w:val="5"/>
    <w:autoRedefine/>
    <w:qFormat/>
    <w:uiPriority w:val="99"/>
    <w:pPr>
      <w:snapToGrid w:val="0"/>
    </w:pPr>
    <w:rPr>
      <w:rFonts w:ascii="Arial" w:hAnsi="Arial"/>
    </w:rPr>
  </w:style>
  <w:style w:type="paragraph" w:styleId="5">
    <w:name w:val="toc 7"/>
    <w:basedOn w:val="1"/>
    <w:next w:val="1"/>
    <w:autoRedefine/>
    <w:semiHidden/>
    <w:qFormat/>
    <w:uiPriority w:val="99"/>
    <w:pPr>
      <w:ind w:left="2520" w:leftChars="1200"/>
    </w:pPr>
    <w:rPr>
      <w:rFonts w:ascii="Calibri" w:hAnsi="Calibri" w:cs="Calibri"/>
    </w:rPr>
  </w:style>
  <w:style w:type="paragraph" w:styleId="15">
    <w:name w:val="caption"/>
    <w:basedOn w:val="1"/>
    <w:next w:val="1"/>
    <w:autoRedefine/>
    <w:qFormat/>
    <w:uiPriority w:val="99"/>
    <w:rPr>
      <w:rFonts w:ascii="Cambria" w:hAnsi="Cambria" w:eastAsia="黑体" w:cs="Cambria"/>
      <w:sz w:val="20"/>
      <w:szCs w:val="20"/>
    </w:rPr>
  </w:style>
  <w:style w:type="paragraph" w:styleId="16">
    <w:name w:val="Document Map"/>
    <w:basedOn w:val="1"/>
    <w:link w:val="73"/>
    <w:autoRedefine/>
    <w:semiHidden/>
    <w:qFormat/>
    <w:uiPriority w:val="99"/>
    <w:pPr>
      <w:shd w:val="clear" w:color="auto" w:fill="000080"/>
    </w:pPr>
    <w:rPr>
      <w:kern w:val="0"/>
      <w:sz w:val="20"/>
      <w:szCs w:val="20"/>
      <w:shd w:val="clear" w:color="auto" w:fill="000080"/>
    </w:rPr>
  </w:style>
  <w:style w:type="paragraph" w:styleId="17">
    <w:name w:val="annotation text"/>
    <w:basedOn w:val="1"/>
    <w:link w:val="74"/>
    <w:autoRedefine/>
    <w:semiHidden/>
    <w:qFormat/>
    <w:uiPriority w:val="99"/>
    <w:pPr>
      <w:jc w:val="left"/>
    </w:pPr>
  </w:style>
  <w:style w:type="paragraph" w:styleId="18">
    <w:name w:val="Body Text 3"/>
    <w:basedOn w:val="1"/>
    <w:link w:val="75"/>
    <w:autoRedefine/>
    <w:qFormat/>
    <w:uiPriority w:val="99"/>
    <w:rPr>
      <w:rFonts w:ascii="宋体" w:cs="宋体"/>
      <w:sz w:val="24"/>
      <w:szCs w:val="24"/>
    </w:rPr>
  </w:style>
  <w:style w:type="paragraph" w:styleId="19">
    <w:name w:val="Body Text"/>
    <w:basedOn w:val="1"/>
    <w:link w:val="76"/>
    <w:autoRedefine/>
    <w:qFormat/>
    <w:uiPriority w:val="99"/>
    <w:pPr>
      <w:jc w:val="center"/>
    </w:pPr>
    <w:rPr>
      <w:b/>
      <w:bCs/>
      <w:sz w:val="44"/>
      <w:szCs w:val="44"/>
    </w:rPr>
  </w:style>
  <w:style w:type="paragraph" w:styleId="20">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autoRedefine/>
    <w:semiHidden/>
    <w:qFormat/>
    <w:uiPriority w:val="99"/>
    <w:pPr>
      <w:ind w:left="600" w:leftChars="600"/>
    </w:pPr>
  </w:style>
  <w:style w:type="paragraph" w:styleId="22">
    <w:name w:val="toc 5"/>
    <w:basedOn w:val="1"/>
    <w:next w:val="1"/>
    <w:autoRedefine/>
    <w:semiHidden/>
    <w:qFormat/>
    <w:uiPriority w:val="99"/>
    <w:pPr>
      <w:tabs>
        <w:tab w:val="right" w:leader="dot" w:pos="8296"/>
      </w:tabs>
      <w:ind w:left="1050" w:leftChars="500"/>
    </w:pPr>
    <w:rPr>
      <w:rFonts w:ascii="Calibri" w:hAnsi="Calibri" w:cs="Calibri"/>
    </w:rPr>
  </w:style>
  <w:style w:type="paragraph" w:styleId="23">
    <w:name w:val="toc 3"/>
    <w:basedOn w:val="1"/>
    <w:next w:val="1"/>
    <w:autoRedefine/>
    <w:semiHidden/>
    <w:qFormat/>
    <w:uiPriority w:val="99"/>
    <w:pPr>
      <w:ind w:left="840" w:leftChars="400"/>
    </w:pPr>
    <w:rPr>
      <w:rFonts w:ascii="Calibri" w:hAnsi="Calibri" w:cs="Calibri"/>
    </w:rPr>
  </w:style>
  <w:style w:type="paragraph" w:styleId="24">
    <w:name w:val="Plain Text"/>
    <w:basedOn w:val="1"/>
    <w:next w:val="1"/>
    <w:link w:val="78"/>
    <w:autoRedefine/>
    <w:qFormat/>
    <w:uiPriority w:val="99"/>
    <w:rPr>
      <w:rFonts w:ascii="宋体" w:hAnsi="Courier New" w:cs="宋体"/>
    </w:rPr>
  </w:style>
  <w:style w:type="paragraph" w:styleId="25">
    <w:name w:val="toc 8"/>
    <w:basedOn w:val="1"/>
    <w:next w:val="1"/>
    <w:autoRedefine/>
    <w:semiHidden/>
    <w:qFormat/>
    <w:uiPriority w:val="99"/>
    <w:pPr>
      <w:ind w:left="2940" w:leftChars="1400"/>
    </w:pPr>
    <w:rPr>
      <w:rFonts w:ascii="Calibri" w:hAnsi="Calibri" w:cs="Calibri"/>
    </w:rPr>
  </w:style>
  <w:style w:type="paragraph" w:styleId="26">
    <w:name w:val="Date"/>
    <w:basedOn w:val="1"/>
    <w:next w:val="1"/>
    <w:link w:val="79"/>
    <w:autoRedefine/>
    <w:qFormat/>
    <w:uiPriority w:val="99"/>
    <w:rPr>
      <w:rFonts w:ascii="仿宋_GB2312" w:eastAsia="仿宋_GB2312" w:cs="仿宋_GB2312"/>
      <w:sz w:val="30"/>
      <w:szCs w:val="30"/>
    </w:rPr>
  </w:style>
  <w:style w:type="paragraph" w:styleId="27">
    <w:name w:val="Body Text Indent 2"/>
    <w:basedOn w:val="1"/>
    <w:link w:val="80"/>
    <w:autoRedefine/>
    <w:qFormat/>
    <w:uiPriority w:val="99"/>
    <w:pPr>
      <w:spacing w:line="360" w:lineRule="exact"/>
      <w:ind w:firstLine="600" w:firstLineChars="250"/>
      <w:jc w:val="left"/>
    </w:pPr>
    <w:rPr>
      <w:sz w:val="24"/>
      <w:szCs w:val="24"/>
    </w:rPr>
  </w:style>
  <w:style w:type="paragraph" w:styleId="28">
    <w:name w:val="Balloon Text"/>
    <w:basedOn w:val="1"/>
    <w:link w:val="81"/>
    <w:autoRedefine/>
    <w:semiHidden/>
    <w:qFormat/>
    <w:uiPriority w:val="99"/>
    <w:rPr>
      <w:sz w:val="18"/>
      <w:szCs w:val="18"/>
    </w:rPr>
  </w:style>
  <w:style w:type="paragraph" w:styleId="29">
    <w:name w:val="footer"/>
    <w:basedOn w:val="1"/>
    <w:link w:val="82"/>
    <w:autoRedefine/>
    <w:qFormat/>
    <w:uiPriority w:val="99"/>
    <w:pPr>
      <w:tabs>
        <w:tab w:val="center" w:pos="4153"/>
        <w:tab w:val="right" w:pos="8306"/>
      </w:tabs>
      <w:snapToGrid w:val="0"/>
      <w:jc w:val="left"/>
    </w:pPr>
    <w:rPr>
      <w:sz w:val="18"/>
      <w:szCs w:val="18"/>
    </w:rPr>
  </w:style>
  <w:style w:type="paragraph" w:styleId="30">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autoRedefine/>
    <w:qFormat/>
    <w:locked/>
    <w:uiPriority w:val="0"/>
    <w:pPr>
      <w:ind w:left="200" w:hanging="200" w:hangingChars="200"/>
    </w:p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autoRedefine/>
    <w:semiHidden/>
    <w:qFormat/>
    <w:uiPriority w:val="99"/>
    <w:rPr>
      <w:rFonts w:ascii="宋体" w:cs="宋体"/>
      <w:b/>
      <w:bCs/>
      <w:kern w:val="0"/>
      <w:sz w:val="28"/>
      <w:szCs w:val="28"/>
    </w:r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9"/>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autoRedefine/>
    <w:qFormat/>
    <w:locked/>
    <w:uiPriority w:val="99"/>
    <w:rPr>
      <w:rFonts w:cs="Times New Roman"/>
      <w:sz w:val="24"/>
      <w:szCs w:val="24"/>
      <w:shd w:val="clear" w:color="auto" w:fill="000080"/>
    </w:rPr>
  </w:style>
  <w:style w:type="character" w:customStyle="1" w:styleId="74">
    <w:name w:val="批注文字 字符"/>
    <w:basedOn w:val="47"/>
    <w:link w:val="17"/>
    <w:autoRedefine/>
    <w:qFormat/>
    <w:locked/>
    <w:uiPriority w:val="99"/>
    <w:rPr>
      <w:rFonts w:cs="Times New Roman"/>
      <w:kern w:val="2"/>
      <w:sz w:val="22"/>
      <w:szCs w:val="22"/>
    </w:rPr>
  </w:style>
  <w:style w:type="character" w:customStyle="1" w:styleId="75">
    <w:name w:val="正文文本 3 字符"/>
    <w:basedOn w:val="47"/>
    <w:link w:val="18"/>
    <w:autoRedefine/>
    <w:semiHidden/>
    <w:qFormat/>
    <w:locked/>
    <w:uiPriority w:val="99"/>
    <w:rPr>
      <w:rFonts w:cs="Times New Roman"/>
      <w:sz w:val="16"/>
      <w:szCs w:val="16"/>
    </w:rPr>
  </w:style>
  <w:style w:type="character" w:customStyle="1" w:styleId="76">
    <w:name w:val="正文文本 字符"/>
    <w:basedOn w:val="47"/>
    <w:link w:val="19"/>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autoRedefine/>
    <w:semiHidden/>
    <w:qFormat/>
    <w:locked/>
    <w:uiPriority w:val="99"/>
    <w:rPr>
      <w:rFonts w:cs="Times New Roman"/>
      <w:sz w:val="21"/>
      <w:szCs w:val="21"/>
    </w:rPr>
  </w:style>
  <w:style w:type="character" w:customStyle="1" w:styleId="78">
    <w:name w:val="纯文本 字符"/>
    <w:basedOn w:val="47"/>
    <w:link w:val="24"/>
    <w:autoRedefine/>
    <w:semiHidden/>
    <w:qFormat/>
    <w:locked/>
    <w:uiPriority w:val="99"/>
    <w:rPr>
      <w:rFonts w:ascii="宋体" w:hAnsi="Courier New" w:cs="Courier New"/>
      <w:sz w:val="21"/>
      <w:szCs w:val="21"/>
    </w:rPr>
  </w:style>
  <w:style w:type="character" w:customStyle="1" w:styleId="79">
    <w:name w:val="日期 字符"/>
    <w:basedOn w:val="47"/>
    <w:link w:val="26"/>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autoRedefine/>
    <w:semiHidden/>
    <w:qFormat/>
    <w:locked/>
    <w:uiPriority w:val="99"/>
    <w:rPr>
      <w:rFonts w:cs="Times New Roman"/>
      <w:sz w:val="21"/>
      <w:szCs w:val="21"/>
    </w:rPr>
  </w:style>
  <w:style w:type="character" w:customStyle="1" w:styleId="81">
    <w:name w:val="批注框文本 字符"/>
    <w:basedOn w:val="47"/>
    <w:link w:val="28"/>
    <w:autoRedefine/>
    <w:semiHidden/>
    <w:qFormat/>
    <w:locked/>
    <w:uiPriority w:val="99"/>
    <w:rPr>
      <w:rFonts w:cs="Times New Roman"/>
      <w:sz w:val="2"/>
    </w:rPr>
  </w:style>
  <w:style w:type="character" w:customStyle="1" w:styleId="82">
    <w:name w:val="页脚 字符"/>
    <w:basedOn w:val="47"/>
    <w:link w:val="29"/>
    <w:autoRedefine/>
    <w:qFormat/>
    <w:locked/>
    <w:uiPriority w:val="99"/>
    <w:rPr>
      <w:rFonts w:eastAsia="宋体" w:cs="Times New Roman"/>
      <w:kern w:val="2"/>
      <w:sz w:val="18"/>
      <w:szCs w:val="18"/>
      <w:lang w:val="en-US" w:eastAsia="zh-CN"/>
    </w:rPr>
  </w:style>
  <w:style w:type="character" w:customStyle="1" w:styleId="83">
    <w:name w:val="页眉 字符"/>
    <w:basedOn w:val="47"/>
    <w:link w:val="30"/>
    <w:autoRedefine/>
    <w:qFormat/>
    <w:locked/>
    <w:uiPriority w:val="99"/>
    <w:rPr>
      <w:rFonts w:eastAsia="宋体" w:cs="Times New Roman"/>
      <w:kern w:val="2"/>
      <w:sz w:val="18"/>
      <w:szCs w:val="18"/>
      <w:lang w:val="en-US" w:eastAsia="zh-CN"/>
    </w:rPr>
  </w:style>
  <w:style w:type="character" w:customStyle="1" w:styleId="84">
    <w:name w:val="副标题 字符"/>
    <w:basedOn w:val="47"/>
    <w:link w:val="33"/>
    <w:autoRedefine/>
    <w:qFormat/>
    <w:locked/>
    <w:uiPriority w:val="99"/>
    <w:rPr>
      <w:rFonts w:ascii="Cambria" w:hAnsi="Cambria" w:cs="Cambria"/>
      <w:b/>
      <w:bCs/>
      <w:kern w:val="28"/>
      <w:sz w:val="32"/>
      <w:szCs w:val="32"/>
    </w:rPr>
  </w:style>
  <w:style w:type="character" w:customStyle="1" w:styleId="85">
    <w:name w:val="脚注文本 字符"/>
    <w:basedOn w:val="47"/>
    <w:link w:val="35"/>
    <w:autoRedefine/>
    <w:semiHidden/>
    <w:qFormat/>
    <w:locked/>
    <w:uiPriority w:val="99"/>
    <w:rPr>
      <w:rFonts w:cs="Times New Roman"/>
      <w:sz w:val="18"/>
      <w:szCs w:val="18"/>
    </w:rPr>
  </w:style>
  <w:style w:type="character" w:customStyle="1" w:styleId="86">
    <w:name w:val="正文文本缩进 3 字符"/>
    <w:basedOn w:val="47"/>
    <w:link w:val="37"/>
    <w:autoRedefine/>
    <w:semiHidden/>
    <w:qFormat/>
    <w:locked/>
    <w:uiPriority w:val="99"/>
    <w:rPr>
      <w:rFonts w:cs="Times New Roman"/>
      <w:sz w:val="16"/>
      <w:szCs w:val="16"/>
    </w:rPr>
  </w:style>
  <w:style w:type="character" w:customStyle="1" w:styleId="87">
    <w:name w:val="正文文本 2 字符"/>
    <w:basedOn w:val="47"/>
    <w:link w:val="41"/>
    <w:autoRedefine/>
    <w:semiHidden/>
    <w:qFormat/>
    <w:locked/>
    <w:uiPriority w:val="99"/>
    <w:rPr>
      <w:rFonts w:cs="Times New Roman"/>
      <w:sz w:val="21"/>
      <w:szCs w:val="21"/>
    </w:rPr>
  </w:style>
  <w:style w:type="character" w:customStyle="1" w:styleId="88">
    <w:name w:val="标题 字符"/>
    <w:basedOn w:val="47"/>
    <w:link w:val="43"/>
    <w:autoRedefine/>
    <w:qFormat/>
    <w:locked/>
    <w:uiPriority w:val="99"/>
    <w:rPr>
      <w:rFonts w:ascii="Cambria" w:hAnsi="Cambria" w:cs="Cambria"/>
      <w:b/>
      <w:bCs/>
      <w:kern w:val="2"/>
      <w:sz w:val="32"/>
      <w:szCs w:val="32"/>
    </w:rPr>
  </w:style>
  <w:style w:type="character" w:customStyle="1" w:styleId="89">
    <w:name w:val="批注主题 字符"/>
    <w:basedOn w:val="74"/>
    <w:link w:val="44"/>
    <w:autoRedefine/>
    <w:qFormat/>
    <w:locked/>
    <w:uiPriority w:val="99"/>
    <w:rPr>
      <w:rFonts w:ascii="宋体" w:cs="宋体"/>
      <w:b/>
      <w:bCs/>
      <w:kern w:val="2"/>
      <w:sz w:val="28"/>
      <w:szCs w:val="28"/>
    </w:rPr>
  </w:style>
  <w:style w:type="character" w:customStyle="1" w:styleId="90">
    <w:name w:val="正文文本首行缩进 2 字符"/>
    <w:basedOn w:val="77"/>
    <w:link w:val="2"/>
    <w:autoRedefine/>
    <w:semiHidden/>
    <w:qFormat/>
    <w:locked/>
    <w:uiPriority w:val="99"/>
    <w:rPr>
      <w:rFonts w:cs="Times New Roman"/>
      <w:sz w:val="21"/>
      <w:szCs w:val="21"/>
    </w:rPr>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7"/>
    <w:next w:val="21"/>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8"/>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8"/>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8"/>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8"/>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autoRedefine/>
    <w:qFormat/>
    <w:uiPriority w:val="99"/>
    <w:pPr>
      <w:spacing w:line="413" w:lineRule="auto"/>
    </w:pPr>
  </w:style>
  <w:style w:type="paragraph" w:customStyle="1" w:styleId="134">
    <w:name w:val="TOC 标题1"/>
    <w:basedOn w:val="6"/>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15953</Words>
  <Characters>16743</Characters>
  <Lines>96</Lines>
  <Paragraphs>27</Paragraphs>
  <TotalTime>324</TotalTime>
  <ScaleCrop>false</ScaleCrop>
  <LinksUpToDate>false</LinksUpToDate>
  <CharactersWithSpaces>18308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2023-03-21T07:56:00Z</cp:lastPrinted>
  <dcterms:modified xsi:type="dcterms:W3CDTF">2024-03-18T08:35:22Z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759CBF9766A8460189D36FC1D6D97DDA_13</vt:lpwstr>
  </property>
</Properties>
</file>